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94" w:rsidRPr="00147494" w:rsidRDefault="00147494" w:rsidP="00147494">
      <w:pPr>
        <w:jc w:val="center"/>
        <w:rPr>
          <w:rFonts w:ascii="Times New Roman" w:eastAsia="Times New Roman" w:hAnsi="Times New Roman" w:cs="Times New Roman"/>
          <w:b/>
          <w:bCs/>
          <w:sz w:val="26"/>
          <w:szCs w:val="26"/>
          <w:lang w:val="uk-UA" w:eastAsia="ru-RU"/>
        </w:rPr>
      </w:pPr>
      <w:r w:rsidRPr="00147494">
        <w:rPr>
          <w:rFonts w:ascii="Times New Roman" w:eastAsia="Times New Roman" w:hAnsi="Times New Roman" w:cs="Times New Roman"/>
          <w:b/>
          <w:bCs/>
          <w:sz w:val="26"/>
          <w:szCs w:val="26"/>
          <w:lang w:val="uk-UA" w:eastAsia="ru-RU"/>
        </w:rPr>
        <w:t>А</w:t>
      </w:r>
      <w:r w:rsidRPr="00147494">
        <w:rPr>
          <w:rFonts w:ascii="Times New Roman" w:eastAsia="Times New Roman" w:hAnsi="Times New Roman" w:cs="Times New Roman"/>
          <w:b/>
          <w:bCs/>
          <w:sz w:val="26"/>
          <w:szCs w:val="26"/>
          <w:lang w:eastAsia="ru-RU"/>
        </w:rPr>
        <w:t>наліз регуляторного впливу</w:t>
      </w:r>
    </w:p>
    <w:p w:rsidR="00147494" w:rsidRPr="00147494" w:rsidRDefault="00147494" w:rsidP="00147494">
      <w:pPr>
        <w:jc w:val="center"/>
        <w:rPr>
          <w:rFonts w:ascii="Times New Roman" w:eastAsia="Times New Roman" w:hAnsi="Times New Roman" w:cs="Times New Roman"/>
          <w:b/>
          <w:bCs/>
          <w:sz w:val="26"/>
          <w:szCs w:val="26"/>
          <w:lang w:val="uk-UA"/>
        </w:rPr>
      </w:pPr>
      <w:r w:rsidRPr="00147494">
        <w:rPr>
          <w:rFonts w:ascii="Times New Roman" w:eastAsia="Times New Roman" w:hAnsi="Times New Roman" w:cs="Times New Roman"/>
          <w:b/>
          <w:bCs/>
          <w:sz w:val="26"/>
          <w:szCs w:val="26"/>
          <w:lang w:val="uk-UA" w:eastAsia="ru-RU"/>
        </w:rPr>
        <w:t xml:space="preserve">проєкту </w:t>
      </w:r>
      <w:r w:rsidRPr="00147494">
        <w:rPr>
          <w:rFonts w:ascii="Times New Roman" w:eastAsia="Times New Roman" w:hAnsi="Times New Roman" w:cs="Times New Roman"/>
          <w:b/>
          <w:sz w:val="26"/>
          <w:szCs w:val="26"/>
          <w:lang w:val="uk-UA" w:eastAsia="ru-RU"/>
        </w:rPr>
        <w:t xml:space="preserve">рішення Мостівської сільської ради </w:t>
      </w:r>
      <w:r w:rsidRPr="00147494">
        <w:rPr>
          <w:rFonts w:ascii="Times New Roman" w:eastAsia="Times New Roman" w:hAnsi="Times New Roman" w:cs="Times New Roman"/>
          <w:b/>
          <w:bCs/>
          <w:sz w:val="26"/>
          <w:szCs w:val="26"/>
          <w:lang w:val="uk-UA"/>
        </w:rPr>
        <w:t>«</w:t>
      </w:r>
      <w:r w:rsidRPr="00147494">
        <w:rPr>
          <w:rFonts w:ascii="Times New Roman" w:eastAsia="Times New Roman" w:hAnsi="Times New Roman" w:cs="Times New Roman"/>
          <w:b/>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b/>
          <w:bCs/>
          <w:sz w:val="26"/>
          <w:szCs w:val="26"/>
          <w:lang w:val="uk-UA"/>
        </w:rPr>
        <w:t>»</w:t>
      </w:r>
    </w:p>
    <w:p w:rsidR="00147494" w:rsidRPr="00147494" w:rsidRDefault="00147494" w:rsidP="00147494">
      <w:pPr>
        <w:ind w:firstLine="709"/>
        <w:jc w:val="center"/>
        <w:rPr>
          <w:rFonts w:ascii="Times New Roman" w:eastAsia="Times New Roman" w:hAnsi="Times New Roman" w:cs="Times New Roman"/>
          <w:b/>
          <w:bCs/>
          <w:sz w:val="26"/>
          <w:szCs w:val="26"/>
          <w:lang w:val="uk-UA"/>
        </w:rPr>
      </w:pPr>
    </w:p>
    <w:p w:rsidR="00147494" w:rsidRPr="00147494" w:rsidRDefault="00147494" w:rsidP="00147494">
      <w:pPr>
        <w:ind w:firstLine="709"/>
        <w:jc w:val="both"/>
        <w:rPr>
          <w:rFonts w:ascii="Times New Roman" w:eastAsia="Times New Roman" w:hAnsi="Times New Roman" w:cs="Times New Roman"/>
          <w:bCs/>
          <w:sz w:val="26"/>
          <w:szCs w:val="26"/>
          <w:lang w:val="uk-UA"/>
        </w:rPr>
      </w:pPr>
      <w:r w:rsidRPr="00147494">
        <w:rPr>
          <w:rFonts w:ascii="Times New Roman" w:eastAsia="Times New Roman" w:hAnsi="Times New Roman" w:cs="Times New Roman"/>
          <w:bCs/>
          <w:sz w:val="26"/>
          <w:szCs w:val="26"/>
          <w:lang w:val="uk-UA"/>
        </w:rPr>
        <w:t>Аналіз регуляторного впливу проєкту рішення сільської ради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Проєкт рішення Мостівської сільської ради </w:t>
      </w:r>
      <w:r w:rsidRPr="00147494">
        <w:rPr>
          <w:rFonts w:ascii="Times New Roman" w:eastAsia="Times New Roman" w:hAnsi="Times New Roman" w:cs="Times New Roman"/>
          <w:sz w:val="26"/>
          <w:szCs w:val="26"/>
          <w:lang w:val="uk-UA"/>
        </w:rPr>
        <w:t>«</w:t>
      </w:r>
      <w:r w:rsidRPr="00147494">
        <w:rPr>
          <w:rFonts w:ascii="Times New Roman" w:eastAsia="Times New Roman" w:hAnsi="Times New Roman" w:cs="Times New Roman"/>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sz w:val="26"/>
          <w:szCs w:val="26"/>
          <w:lang w:val="uk-UA"/>
        </w:rPr>
        <w:t>»,</w:t>
      </w:r>
      <w:r w:rsidRPr="00147494">
        <w:rPr>
          <w:rFonts w:ascii="Times New Roman" w:eastAsia="Times New Roman" w:hAnsi="Times New Roman" w:cs="Times New Roman"/>
          <w:bCs/>
          <w:sz w:val="26"/>
          <w:szCs w:val="26"/>
          <w:lang w:val="uk-UA"/>
        </w:rPr>
        <w:t xml:space="preserve"> </w:t>
      </w:r>
      <w:r w:rsidRPr="00147494">
        <w:rPr>
          <w:rFonts w:ascii="Times New Roman" w:eastAsia="Times New Roman" w:hAnsi="Times New Roman" w:cs="Times New Roman"/>
          <w:sz w:val="26"/>
          <w:szCs w:val="26"/>
          <w:lang w:val="uk-UA" w:eastAsia="ru-RU"/>
        </w:rPr>
        <w:t xml:space="preserve">розроблений відповідно до Податкового кодексу України з метою поповнення бюджету територіальної громади (надалі ТГ) для виконання заходів Стратегії сталого розвитку   Мостівської об’єднаної територіальної громади Миколаївської області на  2018 – 2026 роки та Програми соціально-економічного та культурного розвитку території  Мостівської сільської ради на 2021 - 2024 роки. </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b/>
          <w:sz w:val="26"/>
          <w:szCs w:val="26"/>
          <w:lang w:val="uk-UA" w:eastAsia="ru-RU"/>
        </w:rPr>
        <w:t>Регуляторний орган</w:t>
      </w:r>
      <w:r w:rsidRPr="00147494">
        <w:rPr>
          <w:rFonts w:ascii="Times New Roman" w:eastAsia="Times New Roman" w:hAnsi="Times New Roman" w:cs="Times New Roman"/>
          <w:sz w:val="26"/>
          <w:szCs w:val="26"/>
          <w:lang w:val="uk-UA" w:eastAsia="ru-RU"/>
        </w:rPr>
        <w:t xml:space="preserve">: Мостівської сільської рада. </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b/>
          <w:sz w:val="26"/>
          <w:szCs w:val="26"/>
          <w:lang w:val="uk-UA" w:eastAsia="ru-RU"/>
        </w:rPr>
        <w:t>Розробник</w:t>
      </w:r>
      <w:r w:rsidRPr="00147494">
        <w:rPr>
          <w:rFonts w:ascii="Times New Roman" w:eastAsia="Times New Roman" w:hAnsi="Times New Roman" w:cs="Times New Roman"/>
          <w:sz w:val="26"/>
          <w:szCs w:val="26"/>
          <w:lang w:val="uk-UA" w:eastAsia="ru-RU"/>
        </w:rPr>
        <w:t>: Фінансовий відділ Мостівської сільської ради.</w:t>
      </w:r>
    </w:p>
    <w:p w:rsidR="00147494" w:rsidRPr="00147494" w:rsidRDefault="00147494" w:rsidP="00147494">
      <w:pPr>
        <w:jc w:val="both"/>
        <w:rPr>
          <w:rFonts w:ascii="Times New Roman" w:eastAsia="Times New Roman" w:hAnsi="Times New Roman" w:cs="Times New Roman"/>
          <w:sz w:val="26"/>
          <w:szCs w:val="26"/>
          <w:lang w:val="uk-UA" w:eastAsia="ru-RU"/>
        </w:rPr>
      </w:pPr>
    </w:p>
    <w:p w:rsidR="00147494" w:rsidRPr="00147494" w:rsidRDefault="00147494" w:rsidP="00147494">
      <w:pPr>
        <w:ind w:firstLine="709"/>
        <w:jc w:val="both"/>
        <w:rPr>
          <w:rFonts w:ascii="Times New Roman" w:eastAsia="Times New Roman" w:hAnsi="Times New Roman" w:cs="Times New Roman"/>
          <w:sz w:val="26"/>
          <w:szCs w:val="26"/>
          <w:lang w:val="uk-UA" w:eastAsia="ru-RU"/>
        </w:rPr>
      </w:pPr>
    </w:p>
    <w:p w:rsidR="00147494" w:rsidRPr="00147494" w:rsidRDefault="00147494" w:rsidP="00147494">
      <w:pPr>
        <w:ind w:firstLine="709"/>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 xml:space="preserve">1. Проблема, яку передбачається вирішити. </w:t>
      </w:r>
    </w:p>
    <w:p w:rsidR="00147494" w:rsidRPr="00147494" w:rsidRDefault="00147494" w:rsidP="00147494">
      <w:pPr>
        <w:ind w:firstLine="708"/>
        <w:contextualSpacing/>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Відповідно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і зборів в межах своїх повноважень та в порядку, визначеному цим кодексом.</w:t>
      </w:r>
    </w:p>
    <w:p w:rsidR="00147494" w:rsidRPr="00147494" w:rsidRDefault="00147494" w:rsidP="00147494">
      <w:pPr>
        <w:ind w:right="-5"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shd w:val="clear" w:color="auto" w:fill="FFFFFF"/>
          <w:lang w:val="uk-UA" w:eastAsia="ru-RU"/>
        </w:rPr>
        <w:t xml:space="preserve">Згідно п.12.3.3. </w:t>
      </w:r>
      <w:r w:rsidRPr="00147494">
        <w:rPr>
          <w:rFonts w:ascii="Times New Roman" w:eastAsia="Times New Roman" w:hAnsi="Times New Roman" w:cs="Times New Roman"/>
          <w:sz w:val="26"/>
          <w:szCs w:val="26"/>
          <w:lang w:val="uk-UA" w:eastAsia="ru-RU"/>
        </w:rPr>
        <w:t>ст. 12 Податкового кодексу України к</w:t>
      </w:r>
      <w:r w:rsidRPr="00147494">
        <w:rPr>
          <w:rFonts w:ascii="Times New Roman" w:eastAsia="Times New Roman" w:hAnsi="Times New Roman" w:cs="Times New Roman"/>
          <w:sz w:val="26"/>
          <w:szCs w:val="26"/>
          <w:shd w:val="clear" w:color="auto" w:fill="FFFFFF"/>
          <w:lang w:val="uk-UA" w:eastAsia="ru-RU"/>
        </w:rPr>
        <w:t>опія прийнятого рішення про встановлення місцевих податків та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w:t>
      </w:r>
      <w:bookmarkStart w:id="0" w:name="_Hlk73085959"/>
      <w:r w:rsidRPr="00147494">
        <w:rPr>
          <w:rFonts w:ascii="Times New Roman" w:eastAsia="Times New Roman" w:hAnsi="Times New Roman" w:cs="Times New Roman"/>
          <w:sz w:val="26"/>
          <w:szCs w:val="26"/>
          <w:shd w:val="clear" w:color="auto" w:fill="FFFFFF"/>
          <w:lang w:val="uk-UA" w:eastAsia="ru-RU"/>
        </w:rPr>
        <w:t>Доманівська ДПІ Южноукраїнського управління ГУ ДПС у Миколаївській області</w:t>
      </w:r>
      <w:bookmarkEnd w:id="0"/>
      <w:r w:rsidRPr="00147494">
        <w:rPr>
          <w:rFonts w:ascii="Times New Roman" w:eastAsia="Times New Roman" w:hAnsi="Times New Roman" w:cs="Times New Roman"/>
          <w:sz w:val="26"/>
          <w:szCs w:val="26"/>
          <w:shd w:val="clear" w:color="auto" w:fill="FFFFFF"/>
          <w:lang w:val="uk-UA" w:eastAsia="ru-RU"/>
        </w:rPr>
        <w:t>), але не пізніше 25 липня року, що передує бюджетному періоду, в якому планується застосовування встановлюваних місцевих податків та зборів або змін до них.</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Згідно п.12.3.4 ст. 12 Податкового кодексу України, рішення ради </w:t>
      </w:r>
      <w:r w:rsidRPr="00147494">
        <w:rPr>
          <w:rFonts w:ascii="Times New Roman" w:eastAsia="Times New Roman" w:hAnsi="Times New Roman" w:cs="Times New Roman"/>
          <w:sz w:val="26"/>
          <w:szCs w:val="26"/>
          <w:lang w:val="uk-UA"/>
        </w:rPr>
        <w:t>«</w:t>
      </w:r>
      <w:r w:rsidRPr="00147494">
        <w:rPr>
          <w:rFonts w:ascii="Times New Roman" w:eastAsia="Times New Roman" w:hAnsi="Times New Roman" w:cs="Times New Roman"/>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sz w:val="26"/>
          <w:szCs w:val="26"/>
          <w:lang w:val="uk-UA"/>
        </w:rPr>
        <w:t xml:space="preserve">» </w:t>
      </w:r>
      <w:r w:rsidRPr="00147494">
        <w:rPr>
          <w:rFonts w:ascii="Times New Roman" w:eastAsia="Times New Roman" w:hAnsi="Times New Roman" w:cs="Times New Roman"/>
          <w:sz w:val="26"/>
          <w:szCs w:val="26"/>
          <w:lang w:val="uk-UA" w:eastAsia="ru-RU"/>
        </w:rPr>
        <w:t xml:space="preserve">повинно бути офіційно оприлюднене до 25 липня року, що передує бюджетному періоду, в якому планується застосування встановлюваних місцевих податків і зборів або змін. Відповідно до п.п.72.1.2.4 п.п.72.1.2 п.72.1 ст.72, постановою КМУ від 24.05. 2017 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визначено типові форми рішень про встановлення ставок та пільг. </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Проблема має вплив на суб’єкти господарювання, громаду, місцеву владу. Реформування країни не можливе без ефективного розвитку територіальних громад, який потребує відповідного фінансового забезпечення, безпосередньо залежного від способу наповнення місцевих бюджетів. Проблема, яку </w:t>
      </w:r>
      <w:r w:rsidRPr="00147494">
        <w:rPr>
          <w:rFonts w:ascii="Times New Roman" w:eastAsia="Times New Roman" w:hAnsi="Times New Roman" w:cs="Times New Roman"/>
          <w:sz w:val="26"/>
          <w:szCs w:val="26"/>
          <w:lang w:val="uk-UA" w:eastAsia="ru-RU"/>
        </w:rPr>
        <w:lastRenderedPageBreak/>
        <w:t>пропонується вирішити шляхом прийняття відповідного регуляторного акта, дуже важлива для всіх членів територіальної громади.</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Проєктом передбачається створення умов для надходження до бюджету коштів від сплати податку на нерухоме майно, відмінне від земельної ділянки, </w:t>
      </w:r>
      <w:r w:rsidRPr="00147494">
        <w:rPr>
          <w:rFonts w:ascii="Times New Roman" w:eastAsia="Times New Roman" w:hAnsi="Times New Roman" w:cs="Times New Roman"/>
          <w:noProof/>
          <w:sz w:val="26"/>
          <w:szCs w:val="26"/>
          <w:lang w:val="uk-UA" w:eastAsia="ru-RU"/>
        </w:rPr>
        <w:t>плати за землю,</w:t>
      </w:r>
      <w:r w:rsidRPr="00147494">
        <w:rPr>
          <w:rFonts w:ascii="Times New Roman" w:eastAsia="Times New Roman" w:hAnsi="Times New Roman" w:cs="Times New Roman"/>
          <w:sz w:val="26"/>
          <w:szCs w:val="26"/>
          <w:lang w:val="uk-UA" w:eastAsia="ru-RU"/>
        </w:rPr>
        <w:t xml:space="preserve"> транспортного податку, єдиного податку  забезпечення позитивного впливу на ринкове середовище та умови конкуренції на території Мостівської сільської територіальної громади.</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Питання залучення 182,5 тис. грн до бюджету ТГ від платників податку на нерухоме майно, відмінне від земельної ділянки,  11 610,3тис. грн від плати за землю та 3 818,8 тис. грн єдиного податку від платників 1 та 2 групи пропонується вирішити шляхом ухвалення рішення сільської ради з урахуванням вимог чинного законодавства та в межах повноважень, делегованих органам місцевого самоврядування.</w:t>
      </w:r>
    </w:p>
    <w:p w:rsidR="00147494" w:rsidRPr="00147494" w:rsidRDefault="00147494" w:rsidP="00147494">
      <w:pPr>
        <w:ind w:firstLine="709"/>
        <w:jc w:val="both"/>
        <w:rPr>
          <w:rFonts w:ascii="Times New Roman" w:eastAsia="Times New Roman" w:hAnsi="Times New Roman" w:cs="Times New Roman"/>
          <w:sz w:val="26"/>
          <w:szCs w:val="26"/>
          <w:lang w:val="uk-UA"/>
        </w:rPr>
      </w:pPr>
      <w:r w:rsidRPr="00147494">
        <w:rPr>
          <w:rFonts w:ascii="Times New Roman" w:eastAsia="Times New Roman" w:hAnsi="Times New Roman" w:cs="Times New Roman"/>
          <w:sz w:val="26"/>
          <w:szCs w:val="26"/>
          <w:lang w:val="uk-UA" w:eastAsia="ru-RU"/>
        </w:rPr>
        <w:t>Отже, з метою правового регулювання господарських і адміністративних відносин між органами місцевого самоврядування та суб’єктами господарювання, недопущення суперечливих ситуацій, безумовного виконання Податкового кодексу України, виконання програм соціально-економічного розвитку громади, вказана проблема потребує розв’язання шляхом прийняття Мостівської сільської радою рішення</w:t>
      </w:r>
      <w:r w:rsidRPr="00147494">
        <w:rPr>
          <w:rFonts w:ascii="Times New Roman" w:eastAsia="Times New Roman" w:hAnsi="Times New Roman" w:cs="Times New Roman"/>
          <w:i/>
          <w:sz w:val="26"/>
          <w:szCs w:val="26"/>
          <w:lang w:val="uk-UA" w:eastAsia="ru-RU"/>
        </w:rPr>
        <w:t xml:space="preserve"> </w:t>
      </w:r>
      <w:bookmarkStart w:id="1" w:name="_Hlk73024364"/>
      <w:r w:rsidRPr="00147494">
        <w:rPr>
          <w:rFonts w:ascii="Times New Roman" w:eastAsia="Times New Roman" w:hAnsi="Times New Roman" w:cs="Times New Roman"/>
          <w:sz w:val="26"/>
          <w:szCs w:val="26"/>
          <w:lang w:val="uk-UA"/>
        </w:rPr>
        <w:t>«</w:t>
      </w:r>
      <w:r w:rsidRPr="00147494">
        <w:rPr>
          <w:rFonts w:ascii="Times New Roman" w:eastAsia="Times New Roman" w:hAnsi="Times New Roman" w:cs="Times New Roman"/>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sz w:val="26"/>
          <w:szCs w:val="26"/>
          <w:lang w:val="uk-UA"/>
        </w:rPr>
        <w:t>».</w:t>
      </w:r>
    </w:p>
    <w:bookmarkEnd w:id="1"/>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bCs/>
          <w:sz w:val="26"/>
          <w:szCs w:val="26"/>
          <w:lang w:val="uk-UA" w:eastAsia="ru-RU"/>
        </w:rPr>
        <w:t xml:space="preserve">Встановлення обґрунтованих ставок </w:t>
      </w:r>
      <w:r w:rsidRPr="00147494">
        <w:rPr>
          <w:rFonts w:ascii="Times New Roman" w:eastAsia="Times New Roman" w:hAnsi="Times New Roman" w:cs="Times New Roman"/>
          <w:sz w:val="26"/>
          <w:szCs w:val="26"/>
          <w:lang w:val="uk-UA" w:eastAsia="ru-RU"/>
        </w:rPr>
        <w:t>податку на нерухоме майно, відмінне від земельної ділянки, ставок земельного податку, ставок транспортного податку, ставок єдиного податку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дозволить суттєво зміцнити ресурсну базу місцевого бюджету.</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Станом на 01.01.2021 року на території Мостівської сільської ТГ обліковано 31 платників податку на нерухоме майно, відмінне від земельної ділянки, які є власниками житлової та нежитлової нерухомості, з них: 25 фізичних осіб (з них 19 ФОП), 6 - юридичних осіб. Надходження від сплати податку на нерухоме майно, відмінне від земельної ділянки у 2020 році склали – 146,7 тис. грн, в тому числі фізичними особами – 12,2 тис. грн, 134,5 тис. грн - юридичними особами.</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noProof/>
          <w:sz w:val="26"/>
          <w:szCs w:val="26"/>
          <w:lang w:val="uk-UA" w:eastAsia="ru-RU"/>
        </w:rPr>
        <w:t>Земельний податок за 2020 рік сплатили 2768 платників податку на загальну суму 9 128,2 тис. грн, в т.ч.: 2700</w:t>
      </w:r>
      <w:r w:rsidRPr="00147494">
        <w:rPr>
          <w:rFonts w:ascii="Times New Roman" w:eastAsia="Times New Roman" w:hAnsi="Times New Roman" w:cs="Times New Roman"/>
          <w:noProof/>
          <w:color w:val="FF0000"/>
          <w:sz w:val="26"/>
          <w:szCs w:val="26"/>
          <w:lang w:val="uk-UA" w:eastAsia="ru-RU"/>
        </w:rPr>
        <w:t xml:space="preserve"> </w:t>
      </w:r>
      <w:r w:rsidRPr="00147494">
        <w:rPr>
          <w:rFonts w:ascii="Times New Roman" w:eastAsia="Times New Roman" w:hAnsi="Times New Roman" w:cs="Times New Roman"/>
          <w:noProof/>
          <w:sz w:val="26"/>
          <w:szCs w:val="26"/>
          <w:lang w:val="uk-UA" w:eastAsia="ru-RU"/>
        </w:rPr>
        <w:t>фізичних осіб на суму 2 523,3 тис. грн, 68 – юридичних осіб на суму 6 604,9 тис. грн.</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Також на обліку стоїть 60 платників єдиного податку, з них: 9 платники 1 групи, 27 платника 2 групи та 24 платників 3 групи. Згідно законодавства проєкт рішення має вплив виключно для платників єдиного податку 1 та 2 групи.</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Єдиного податку за 2020 рік сплачено до бюджету ТГ 3 064,2 тис. грн, з них: 18,1 тис.грн надійшло від юридичних осіб,  451,5 тис. грн – фізичних та 2 594,6 тис.грн надійшло від сплати єдиного податку сільськогосподарськими товаровиробниками, у яких частка сільськогосподарського товаровиробництва за попередній податковий (звітний) рік дорівнює або перевищує 75 відсотків.</w:t>
      </w:r>
    </w:p>
    <w:p w:rsidR="00147494" w:rsidRPr="00147494" w:rsidRDefault="00147494" w:rsidP="00147494">
      <w:pPr>
        <w:ind w:firstLine="709"/>
        <w:jc w:val="both"/>
        <w:rPr>
          <w:rFonts w:ascii="Times New Roman" w:eastAsia="Times New Roman" w:hAnsi="Times New Roman" w:cs="Times New Roman"/>
          <w:sz w:val="20"/>
          <w:szCs w:val="20"/>
        </w:rPr>
      </w:pPr>
      <w:r w:rsidRPr="00147494">
        <w:rPr>
          <w:rFonts w:ascii="Times New Roman" w:eastAsia="Times New Roman" w:hAnsi="Times New Roman" w:cs="Times New Roman"/>
          <w:sz w:val="26"/>
          <w:szCs w:val="26"/>
          <w:lang w:val="uk-UA"/>
        </w:rPr>
        <w:t>У разі не прийняття рішення «</w:t>
      </w:r>
      <w:r w:rsidRPr="00147494">
        <w:rPr>
          <w:rFonts w:ascii="Times New Roman" w:eastAsia="Times New Roman" w:hAnsi="Times New Roman" w:cs="Times New Roman"/>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sz w:val="26"/>
          <w:szCs w:val="26"/>
          <w:lang w:val="uk-UA"/>
        </w:rPr>
        <w:t xml:space="preserve">» </w:t>
      </w:r>
      <w:r w:rsidRPr="00147494">
        <w:rPr>
          <w:rFonts w:ascii="Times New Roman" w:eastAsia="Times New Roman" w:hAnsi="Times New Roman" w:cs="Times New Roman"/>
          <w:bCs/>
          <w:sz w:val="26"/>
          <w:szCs w:val="26"/>
          <w:lang w:val="uk-UA" w:eastAsia="ru-RU"/>
        </w:rPr>
        <w:t xml:space="preserve">податки будуть справлятися по </w:t>
      </w:r>
      <w:r w:rsidRPr="00147494">
        <w:rPr>
          <w:rFonts w:ascii="Times New Roman" w:eastAsia="Times New Roman" w:hAnsi="Times New Roman" w:cs="Times New Roman"/>
          <w:noProof/>
          <w:sz w:val="26"/>
          <w:szCs w:val="26"/>
          <w:lang w:val="uk-UA" w:eastAsia="ru-RU"/>
        </w:rPr>
        <w:t>ставкам, які діяли до 31 грудня року, що передує бюджетному періоду, в якому планується застосування даних податків</w:t>
      </w:r>
      <w:r w:rsidRPr="00147494">
        <w:rPr>
          <w:rFonts w:ascii="Times New Roman" w:eastAsia="Times New Roman" w:hAnsi="Times New Roman" w:cs="Times New Roman"/>
          <w:bCs/>
          <w:sz w:val="26"/>
          <w:szCs w:val="26"/>
          <w:lang w:val="uk-UA" w:eastAsia="ru-RU"/>
        </w:rPr>
        <w:t xml:space="preserve">, що </w:t>
      </w:r>
      <w:r w:rsidRPr="00147494">
        <w:rPr>
          <w:rFonts w:ascii="Times New Roman" w:eastAsia="Times New Roman" w:hAnsi="Times New Roman" w:cs="Times New Roman"/>
          <w:bCs/>
          <w:sz w:val="26"/>
          <w:szCs w:val="26"/>
          <w:lang w:val="uk-UA" w:eastAsia="ru-RU"/>
        </w:rPr>
        <w:lastRenderedPageBreak/>
        <w:t>спричинить втрати дохідної частини бюджету, як наслідок, будуть не профінансовані соціальні програми громади :</w:t>
      </w:r>
    </w:p>
    <w:p w:rsidR="00147494" w:rsidRPr="00147494" w:rsidRDefault="00147494" w:rsidP="00147494">
      <w:pPr>
        <w:ind w:firstLine="709"/>
        <w:jc w:val="both"/>
        <w:rPr>
          <w:rFonts w:ascii="Times New Roman" w:eastAsia="Times New Roman" w:hAnsi="Times New Roman" w:cs="Times New Roman"/>
          <w:bCs/>
          <w:sz w:val="26"/>
          <w:szCs w:val="26"/>
          <w:lang w:val="uk-UA" w:eastAsia="ru-RU"/>
        </w:rPr>
      </w:pPr>
      <w:r w:rsidRPr="00147494">
        <w:rPr>
          <w:rFonts w:ascii="Times New Roman" w:eastAsia="Times New Roman" w:hAnsi="Times New Roman" w:cs="Times New Roman"/>
          <w:bCs/>
          <w:sz w:val="26"/>
          <w:szCs w:val="26"/>
          <w:lang w:val="uk-UA" w:eastAsia="ru-RU"/>
        </w:rPr>
        <w:t xml:space="preserve">-утримання закладів дошкільної освіти, шкіл (енергоносії, харчування, комунальні послуги, тощо) – 400,0 </w:t>
      </w:r>
      <w:r w:rsidRPr="00147494">
        <w:rPr>
          <w:rFonts w:ascii="Times New Roman" w:eastAsia="Times New Roman" w:hAnsi="Times New Roman" w:cs="Times New Roman"/>
          <w:sz w:val="26"/>
          <w:szCs w:val="26"/>
          <w:lang w:val="uk-UA" w:eastAsia="ru-RU"/>
        </w:rPr>
        <w:t>тис. грн;</w:t>
      </w:r>
    </w:p>
    <w:p w:rsidR="00147494" w:rsidRPr="00147494" w:rsidRDefault="00147494" w:rsidP="00147494">
      <w:pPr>
        <w:ind w:firstLine="709"/>
        <w:jc w:val="both"/>
        <w:rPr>
          <w:rFonts w:ascii="Times New Roman" w:eastAsia="Times New Roman" w:hAnsi="Times New Roman" w:cs="Times New Roman"/>
          <w:bCs/>
          <w:sz w:val="26"/>
          <w:szCs w:val="26"/>
          <w:lang w:val="uk-UA" w:eastAsia="ru-RU"/>
        </w:rPr>
      </w:pPr>
      <w:r w:rsidRPr="00147494">
        <w:rPr>
          <w:rFonts w:ascii="Times New Roman" w:eastAsia="Times New Roman" w:hAnsi="Times New Roman" w:cs="Times New Roman"/>
          <w:bCs/>
          <w:sz w:val="26"/>
          <w:szCs w:val="26"/>
          <w:lang w:val="uk-UA" w:eastAsia="ru-RU"/>
        </w:rPr>
        <w:t>- ремонт доріг - 100</w:t>
      </w:r>
      <w:r w:rsidRPr="00147494">
        <w:rPr>
          <w:rFonts w:ascii="Times New Roman" w:eastAsia="Times New Roman" w:hAnsi="Times New Roman" w:cs="Times New Roman"/>
          <w:sz w:val="26"/>
          <w:szCs w:val="26"/>
          <w:lang w:val="uk-UA" w:eastAsia="ru-RU"/>
        </w:rPr>
        <w:t>,0</w:t>
      </w:r>
      <w:r w:rsidRPr="00147494">
        <w:rPr>
          <w:rFonts w:ascii="Times New Roman" w:eastAsia="Times New Roman" w:hAnsi="Times New Roman" w:cs="Times New Roman"/>
          <w:sz w:val="26"/>
          <w:szCs w:val="26"/>
          <w:lang w:eastAsia="ru-RU"/>
        </w:rPr>
        <w:t xml:space="preserve"> тис. грн</w:t>
      </w:r>
      <w:r w:rsidRPr="00147494">
        <w:rPr>
          <w:rFonts w:ascii="Times New Roman" w:eastAsia="Times New Roman" w:hAnsi="Times New Roman" w:cs="Times New Roman"/>
          <w:bCs/>
          <w:sz w:val="26"/>
          <w:szCs w:val="26"/>
          <w:lang w:val="uk-UA" w:eastAsia="ru-RU"/>
        </w:rPr>
        <w:t>;</w:t>
      </w:r>
    </w:p>
    <w:p w:rsidR="00147494" w:rsidRPr="00147494" w:rsidRDefault="00147494" w:rsidP="00147494">
      <w:pPr>
        <w:ind w:firstLine="709"/>
        <w:jc w:val="both"/>
        <w:rPr>
          <w:rFonts w:ascii="Times New Roman" w:eastAsia="Times New Roman" w:hAnsi="Times New Roman" w:cs="Times New Roman"/>
          <w:bCs/>
          <w:sz w:val="26"/>
          <w:szCs w:val="26"/>
          <w:lang w:val="uk-UA" w:eastAsia="ru-RU"/>
        </w:rPr>
      </w:pPr>
      <w:r w:rsidRPr="00147494">
        <w:rPr>
          <w:rFonts w:ascii="Times New Roman" w:eastAsia="Times New Roman" w:hAnsi="Times New Roman" w:cs="Times New Roman"/>
          <w:bCs/>
          <w:sz w:val="26"/>
          <w:szCs w:val="26"/>
          <w:lang w:val="uk-UA" w:eastAsia="ru-RU"/>
        </w:rPr>
        <w:t>- благоустрій - 100</w:t>
      </w:r>
      <w:r w:rsidRPr="00147494">
        <w:rPr>
          <w:rFonts w:ascii="Times New Roman" w:eastAsia="Times New Roman" w:hAnsi="Times New Roman" w:cs="Times New Roman"/>
          <w:sz w:val="26"/>
          <w:szCs w:val="26"/>
          <w:lang w:val="uk-UA" w:eastAsia="ru-RU"/>
        </w:rPr>
        <w:t>,0</w:t>
      </w:r>
      <w:r w:rsidRPr="00147494">
        <w:rPr>
          <w:rFonts w:ascii="Times New Roman" w:eastAsia="Times New Roman" w:hAnsi="Times New Roman" w:cs="Times New Roman"/>
          <w:sz w:val="26"/>
          <w:szCs w:val="26"/>
          <w:lang w:eastAsia="ru-RU"/>
        </w:rPr>
        <w:t xml:space="preserve"> тис. грн</w:t>
      </w:r>
      <w:r w:rsidRPr="00147494">
        <w:rPr>
          <w:rFonts w:ascii="Times New Roman" w:eastAsia="Times New Roman" w:hAnsi="Times New Roman" w:cs="Times New Roman"/>
          <w:bCs/>
          <w:sz w:val="26"/>
          <w:szCs w:val="26"/>
          <w:lang w:val="uk-UA" w:eastAsia="ru-RU"/>
        </w:rPr>
        <w:t>;</w:t>
      </w:r>
    </w:p>
    <w:p w:rsidR="00147494" w:rsidRPr="00147494" w:rsidRDefault="00147494" w:rsidP="00147494">
      <w:pPr>
        <w:ind w:firstLine="709"/>
        <w:jc w:val="both"/>
        <w:rPr>
          <w:rFonts w:ascii="Times New Roman" w:eastAsia="Times New Roman" w:hAnsi="Times New Roman" w:cs="Times New Roman"/>
          <w:bCs/>
          <w:sz w:val="26"/>
          <w:szCs w:val="26"/>
          <w:lang w:val="uk-UA" w:eastAsia="ru-RU"/>
        </w:rPr>
      </w:pPr>
      <w:r w:rsidRPr="00147494">
        <w:rPr>
          <w:rFonts w:ascii="Times New Roman" w:eastAsia="Times New Roman" w:hAnsi="Times New Roman" w:cs="Times New Roman"/>
          <w:bCs/>
          <w:sz w:val="26"/>
          <w:szCs w:val="26"/>
          <w:lang w:val="uk-UA" w:eastAsia="ru-RU"/>
        </w:rPr>
        <w:t>- інші заходи – 83,1 тис. грн</w:t>
      </w:r>
    </w:p>
    <w:p w:rsidR="00147494" w:rsidRPr="00147494" w:rsidRDefault="00147494" w:rsidP="00147494">
      <w:pPr>
        <w:ind w:firstLine="709"/>
        <w:jc w:val="both"/>
        <w:rPr>
          <w:rFonts w:ascii="Times New Roman" w:eastAsia="Times New Roman" w:hAnsi="Times New Roman" w:cs="Times New Roman"/>
          <w:b/>
          <w:i/>
          <w:sz w:val="28"/>
          <w:szCs w:val="28"/>
          <w:lang w:eastAsia="ru-RU"/>
        </w:rPr>
      </w:pPr>
    </w:p>
    <w:p w:rsidR="00147494" w:rsidRPr="00147494" w:rsidRDefault="00147494" w:rsidP="00147494">
      <w:pPr>
        <w:ind w:firstLine="709"/>
        <w:jc w:val="both"/>
        <w:rPr>
          <w:rFonts w:ascii="Times New Roman" w:eastAsia="Times New Roman" w:hAnsi="Times New Roman" w:cs="Times New Roman"/>
          <w:b/>
          <w:i/>
          <w:sz w:val="26"/>
          <w:szCs w:val="26"/>
          <w:lang w:val="uk-UA" w:eastAsia="ru-RU"/>
        </w:rPr>
      </w:pPr>
      <w:r w:rsidRPr="00147494">
        <w:rPr>
          <w:rFonts w:ascii="Times New Roman" w:eastAsia="Times New Roman" w:hAnsi="Times New Roman" w:cs="Times New Roman"/>
          <w:b/>
          <w:i/>
          <w:sz w:val="26"/>
          <w:szCs w:val="26"/>
          <w:lang w:val="uk-UA" w:eastAsia="ru-RU"/>
        </w:rPr>
        <w:t xml:space="preserve">Аналіз втрат до місцевого бюджету </w:t>
      </w:r>
    </w:p>
    <w:p w:rsidR="00147494" w:rsidRPr="00147494" w:rsidRDefault="00147494" w:rsidP="00147494">
      <w:pPr>
        <w:ind w:firstLine="709"/>
        <w:jc w:val="right"/>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b/>
          <w:bCs/>
          <w:noProof/>
          <w:sz w:val="26"/>
          <w:szCs w:val="26"/>
          <w:lang w:val="uk-UA" w:eastAsia="ru-RU"/>
        </w:rPr>
        <w:t>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643"/>
        <w:gridCol w:w="1069"/>
        <w:gridCol w:w="1629"/>
        <w:gridCol w:w="1621"/>
        <w:gridCol w:w="1498"/>
        <w:gridCol w:w="1578"/>
      </w:tblGrid>
      <w:tr w:rsidR="00147494" w:rsidRPr="00147494" w:rsidTr="00147494">
        <w:trPr>
          <w:jc w:val="center"/>
        </w:trPr>
        <w:tc>
          <w:tcPr>
            <w:tcW w:w="536" w:type="dxa"/>
            <w:vMerge w:val="restart"/>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з/п</w:t>
            </w:r>
          </w:p>
        </w:tc>
        <w:tc>
          <w:tcPr>
            <w:tcW w:w="1699" w:type="dxa"/>
            <w:vMerge w:val="restart"/>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Назва показника</w:t>
            </w:r>
          </w:p>
        </w:tc>
        <w:tc>
          <w:tcPr>
            <w:tcW w:w="2805"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У разі прийняття рішення про встановлення ставок та пільг із сплати місцевих податків на 2022 рік</w:t>
            </w:r>
          </w:p>
        </w:tc>
        <w:tc>
          <w:tcPr>
            <w:tcW w:w="3217"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У разі не прийняття рішення про встановлення ставок та пільг із сплати місцевих податків на 2022 рік</w:t>
            </w:r>
          </w:p>
        </w:tc>
        <w:tc>
          <w:tcPr>
            <w:tcW w:w="1597" w:type="dxa"/>
            <w:vMerge w:val="restart"/>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Відхилення, тис. грн</w:t>
            </w:r>
          </w:p>
        </w:tc>
      </w:tr>
      <w:tr w:rsidR="00147494" w:rsidRPr="00147494" w:rsidTr="001474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sz w:val="26"/>
                <w:szCs w:val="26"/>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sz w:val="26"/>
                <w:szCs w:val="26"/>
                <w:lang w:val="uk-UA" w:eastAsia="ru-RU"/>
              </w:rPr>
            </w:pPr>
          </w:p>
        </w:tc>
        <w:tc>
          <w:tcPr>
            <w:tcW w:w="113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Ставка, %</w:t>
            </w:r>
          </w:p>
        </w:tc>
        <w:tc>
          <w:tcPr>
            <w:tcW w:w="16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Очікуваний обсяг надходжень, тис. грн</w:t>
            </w:r>
          </w:p>
        </w:tc>
        <w:tc>
          <w:tcPr>
            <w:tcW w:w="16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ind w:right="78"/>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Ставка, %</w:t>
            </w: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(мінімальна)</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ind w:left="-108" w:right="-40"/>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Очікуваний обсяг надходжень, тис.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sz w:val="26"/>
                <w:szCs w:val="26"/>
                <w:lang w:val="uk-UA" w:eastAsia="ru-RU"/>
              </w:rPr>
            </w:pPr>
          </w:p>
        </w:tc>
      </w:tr>
      <w:tr w:rsidR="00147494" w:rsidRPr="00147494" w:rsidTr="00147494">
        <w:trPr>
          <w:trHeight w:val="788"/>
          <w:jc w:val="center"/>
        </w:trPr>
        <w:tc>
          <w:tcPr>
            <w:tcW w:w="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w:t>
            </w:r>
          </w:p>
        </w:tc>
        <w:tc>
          <w:tcPr>
            <w:tcW w:w="169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c>
          <w:tcPr>
            <w:tcW w:w="113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3</w:t>
            </w:r>
          </w:p>
        </w:tc>
        <w:tc>
          <w:tcPr>
            <w:tcW w:w="16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4</w:t>
            </w:r>
          </w:p>
        </w:tc>
        <w:tc>
          <w:tcPr>
            <w:tcW w:w="16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5</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6</w:t>
            </w:r>
          </w:p>
        </w:tc>
        <w:tc>
          <w:tcPr>
            <w:tcW w:w="15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7</w:t>
            </w:r>
          </w:p>
        </w:tc>
      </w:tr>
      <w:tr w:rsidR="00147494" w:rsidRPr="00147494" w:rsidTr="00147494">
        <w:trPr>
          <w:jc w:val="center"/>
        </w:trPr>
        <w:tc>
          <w:tcPr>
            <w:tcW w:w="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w:t>
            </w:r>
          </w:p>
        </w:tc>
        <w:tc>
          <w:tcPr>
            <w:tcW w:w="169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Податок на нерухоме майно</w:t>
            </w:r>
          </w:p>
        </w:tc>
        <w:tc>
          <w:tcPr>
            <w:tcW w:w="1131"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highlight w:val="yellow"/>
                <w:lang w:val="uk-UA" w:eastAsia="ru-RU"/>
              </w:rPr>
            </w:pPr>
          </w:p>
          <w:p w:rsidR="00147494" w:rsidRPr="00147494" w:rsidRDefault="00147494" w:rsidP="00147494">
            <w:pPr>
              <w:jc w:val="center"/>
              <w:rPr>
                <w:rFonts w:ascii="Times New Roman" w:eastAsia="Times New Roman" w:hAnsi="Times New Roman" w:cs="Times New Roman"/>
                <w:sz w:val="26"/>
                <w:szCs w:val="26"/>
                <w:highlight w:val="yellow"/>
                <w:lang w:val="uk-UA" w:eastAsia="ru-RU"/>
              </w:rPr>
            </w:pPr>
            <w:r w:rsidRPr="00147494">
              <w:rPr>
                <w:rFonts w:ascii="Times New Roman" w:eastAsia="Times New Roman" w:hAnsi="Times New Roman" w:cs="Times New Roman"/>
                <w:sz w:val="26"/>
                <w:szCs w:val="26"/>
                <w:lang w:val="uk-UA" w:eastAsia="ru-RU"/>
              </w:rPr>
              <w:t>0,2-1,0</w:t>
            </w:r>
          </w:p>
        </w:tc>
        <w:tc>
          <w:tcPr>
            <w:tcW w:w="1674"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189,8</w:t>
            </w:r>
          </w:p>
        </w:tc>
        <w:tc>
          <w:tcPr>
            <w:tcW w:w="1621"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0,0-1,5</w:t>
            </w:r>
          </w:p>
        </w:tc>
        <w:tc>
          <w:tcPr>
            <w:tcW w:w="1596"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146,7</w:t>
            </w:r>
          </w:p>
        </w:tc>
        <w:tc>
          <w:tcPr>
            <w:tcW w:w="1597"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43,1</w:t>
            </w:r>
          </w:p>
        </w:tc>
      </w:tr>
      <w:tr w:rsidR="00147494" w:rsidRPr="00147494" w:rsidTr="00147494">
        <w:trPr>
          <w:jc w:val="center"/>
        </w:trPr>
        <w:tc>
          <w:tcPr>
            <w:tcW w:w="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c>
          <w:tcPr>
            <w:tcW w:w="169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Cs/>
                <w:noProof/>
                <w:sz w:val="26"/>
                <w:szCs w:val="26"/>
                <w:lang w:val="uk-UA" w:eastAsia="ru-RU"/>
              </w:rPr>
            </w:pPr>
            <w:r w:rsidRPr="00147494">
              <w:rPr>
                <w:rFonts w:ascii="Times New Roman" w:eastAsia="Times New Roman" w:hAnsi="Times New Roman" w:cs="Times New Roman"/>
                <w:bCs/>
                <w:noProof/>
                <w:sz w:val="26"/>
                <w:szCs w:val="26"/>
                <w:lang w:val="uk-UA" w:eastAsia="ru-RU"/>
              </w:rPr>
              <w:t>Плата за землю</w:t>
            </w:r>
          </w:p>
          <w:p w:rsidR="00147494" w:rsidRPr="00147494" w:rsidRDefault="00147494" w:rsidP="00147494">
            <w:pPr>
              <w:jc w:val="center"/>
              <w:rPr>
                <w:rFonts w:ascii="Times New Roman" w:eastAsia="Times New Roman" w:hAnsi="Times New Roman" w:cs="Times New Roman"/>
                <w:bCs/>
                <w:noProof/>
                <w:sz w:val="26"/>
                <w:szCs w:val="26"/>
                <w:lang w:val="uk-UA" w:eastAsia="ru-RU"/>
              </w:rPr>
            </w:pPr>
            <w:r w:rsidRPr="00147494">
              <w:rPr>
                <w:rFonts w:ascii="Times New Roman" w:eastAsia="Times New Roman" w:hAnsi="Times New Roman" w:cs="Times New Roman"/>
                <w:bCs/>
                <w:noProof/>
                <w:sz w:val="26"/>
                <w:szCs w:val="26"/>
                <w:lang w:val="uk-UA" w:eastAsia="ru-RU"/>
              </w:rPr>
              <w:t>(ставка земельного податку)</w:t>
            </w:r>
          </w:p>
        </w:tc>
        <w:tc>
          <w:tcPr>
            <w:tcW w:w="1131"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ind w:left="-74"/>
              <w:jc w:val="center"/>
              <w:rPr>
                <w:rFonts w:ascii="Times New Roman" w:eastAsia="Times New Roman" w:hAnsi="Times New Roman" w:cs="Times New Roman"/>
                <w:bCs/>
                <w:noProof/>
                <w:sz w:val="26"/>
                <w:szCs w:val="26"/>
                <w:highlight w:val="yellow"/>
                <w:lang w:val="uk-UA" w:eastAsia="ru-RU"/>
              </w:rPr>
            </w:pPr>
            <w:r w:rsidRPr="00147494">
              <w:rPr>
                <w:rFonts w:ascii="Times New Roman" w:eastAsia="Times New Roman" w:hAnsi="Times New Roman" w:cs="Times New Roman"/>
                <w:bCs/>
                <w:noProof/>
                <w:sz w:val="26"/>
                <w:szCs w:val="26"/>
                <w:lang w:val="uk-UA" w:eastAsia="ru-RU"/>
              </w:rPr>
              <w:t>0,09-5,0</w:t>
            </w:r>
          </w:p>
        </w:tc>
        <w:tc>
          <w:tcPr>
            <w:tcW w:w="1674"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ind w:left="-74"/>
              <w:jc w:val="center"/>
              <w:rPr>
                <w:rFonts w:ascii="Times New Roman" w:eastAsia="Times New Roman" w:hAnsi="Times New Roman" w:cs="Times New Roman"/>
                <w:bCs/>
                <w:noProof/>
                <w:sz w:val="26"/>
                <w:szCs w:val="26"/>
                <w:lang w:val="uk-UA" w:eastAsia="ru-RU"/>
              </w:rPr>
            </w:pPr>
            <w:r w:rsidRPr="00147494">
              <w:rPr>
                <w:rFonts w:ascii="Times New Roman" w:eastAsia="Times New Roman" w:hAnsi="Times New Roman" w:cs="Times New Roman"/>
                <w:bCs/>
                <w:noProof/>
                <w:sz w:val="26"/>
                <w:szCs w:val="26"/>
                <w:lang w:val="uk-UA" w:eastAsia="ru-RU"/>
              </w:rPr>
              <w:t>12 100,0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ind w:left="-74"/>
              <w:jc w:val="center"/>
              <w:rPr>
                <w:rFonts w:ascii="Times New Roman" w:eastAsia="Times New Roman" w:hAnsi="Times New Roman" w:cs="Times New Roman"/>
                <w:bCs/>
                <w:noProof/>
                <w:sz w:val="26"/>
                <w:szCs w:val="26"/>
                <w:highlight w:val="yellow"/>
                <w:lang w:val="uk-UA" w:eastAsia="ru-RU"/>
              </w:rPr>
            </w:pPr>
            <w:r w:rsidRPr="00147494">
              <w:rPr>
                <w:rFonts w:ascii="Times New Roman" w:eastAsia="Times New Roman" w:hAnsi="Times New Roman" w:cs="Times New Roman"/>
                <w:bCs/>
                <w:noProof/>
                <w:sz w:val="26"/>
                <w:szCs w:val="26"/>
                <w:lang w:val="uk-UA" w:eastAsia="ru-RU"/>
              </w:rPr>
              <w:t>0,03-5,0</w:t>
            </w:r>
          </w:p>
        </w:tc>
        <w:tc>
          <w:tcPr>
            <w:tcW w:w="1596"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ind w:left="-74"/>
              <w:jc w:val="center"/>
              <w:rPr>
                <w:rFonts w:ascii="Times New Roman" w:eastAsia="Times New Roman" w:hAnsi="Times New Roman" w:cs="Times New Roman"/>
                <w:bCs/>
                <w:noProof/>
                <w:sz w:val="26"/>
                <w:szCs w:val="26"/>
                <w:lang w:val="uk-UA" w:eastAsia="ru-RU"/>
              </w:rPr>
            </w:pPr>
            <w:r w:rsidRPr="00147494">
              <w:rPr>
                <w:rFonts w:ascii="Times New Roman" w:eastAsia="Times New Roman" w:hAnsi="Times New Roman" w:cs="Times New Roman"/>
                <w:bCs/>
                <w:noProof/>
                <w:sz w:val="26"/>
                <w:szCs w:val="26"/>
                <w:lang w:val="uk-UA" w:eastAsia="ru-RU"/>
              </w:rPr>
              <w:t>11 600,0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ind w:left="-74"/>
              <w:jc w:val="center"/>
              <w:rPr>
                <w:rFonts w:ascii="Times New Roman" w:eastAsia="Times New Roman" w:hAnsi="Times New Roman" w:cs="Times New Roman"/>
                <w:bCs/>
                <w:noProof/>
                <w:sz w:val="26"/>
                <w:szCs w:val="26"/>
                <w:lang w:val="uk-UA" w:eastAsia="ru-RU"/>
              </w:rPr>
            </w:pPr>
            <w:r w:rsidRPr="00147494">
              <w:rPr>
                <w:rFonts w:ascii="Times New Roman" w:eastAsia="Times New Roman" w:hAnsi="Times New Roman" w:cs="Times New Roman"/>
                <w:bCs/>
                <w:noProof/>
                <w:sz w:val="26"/>
                <w:szCs w:val="26"/>
                <w:lang w:val="uk-UA" w:eastAsia="ru-RU"/>
              </w:rPr>
              <w:t>500,0</w:t>
            </w:r>
          </w:p>
        </w:tc>
      </w:tr>
      <w:tr w:rsidR="00147494" w:rsidRPr="00147494" w:rsidTr="00147494">
        <w:trPr>
          <w:jc w:val="center"/>
        </w:trPr>
        <w:tc>
          <w:tcPr>
            <w:tcW w:w="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3</w:t>
            </w:r>
          </w:p>
        </w:tc>
        <w:tc>
          <w:tcPr>
            <w:tcW w:w="169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Єдиний податок</w:t>
            </w:r>
          </w:p>
        </w:tc>
        <w:tc>
          <w:tcPr>
            <w:tcW w:w="113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10</w:t>
            </w:r>
          </w:p>
          <w:p w:rsidR="00147494" w:rsidRPr="00147494" w:rsidRDefault="00147494" w:rsidP="00147494">
            <w:pPr>
              <w:jc w:val="center"/>
              <w:rPr>
                <w:rFonts w:ascii="Times New Roman" w:eastAsia="Times New Roman" w:hAnsi="Times New Roman" w:cs="Times New Roman"/>
                <w:sz w:val="26"/>
                <w:szCs w:val="26"/>
                <w:highlight w:val="yellow"/>
                <w:lang w:val="uk-UA" w:eastAsia="ru-RU"/>
              </w:rPr>
            </w:pPr>
            <w:r w:rsidRPr="00147494">
              <w:rPr>
                <w:rFonts w:ascii="Times New Roman" w:eastAsia="Times New Roman" w:hAnsi="Times New Roman" w:cs="Times New Roman"/>
                <w:sz w:val="26"/>
                <w:szCs w:val="26"/>
                <w:lang w:val="uk-UA" w:eastAsia="ru-RU"/>
              </w:rPr>
              <w:t>15</w:t>
            </w:r>
          </w:p>
        </w:tc>
        <w:tc>
          <w:tcPr>
            <w:tcW w:w="16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530,0</w:t>
            </w: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3 450,0</w:t>
            </w:r>
          </w:p>
        </w:tc>
        <w:tc>
          <w:tcPr>
            <w:tcW w:w="16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10</w:t>
            </w:r>
          </w:p>
          <w:p w:rsidR="00147494" w:rsidRPr="00147494" w:rsidRDefault="00147494" w:rsidP="00147494">
            <w:pPr>
              <w:jc w:val="center"/>
              <w:rPr>
                <w:rFonts w:ascii="Times New Roman" w:eastAsia="Times New Roman" w:hAnsi="Times New Roman" w:cs="Times New Roman"/>
                <w:sz w:val="26"/>
                <w:szCs w:val="26"/>
                <w:highlight w:val="yellow"/>
                <w:lang w:val="uk-UA" w:eastAsia="ru-RU"/>
              </w:rPr>
            </w:pPr>
            <w:r w:rsidRPr="00147494">
              <w:rPr>
                <w:rFonts w:ascii="Times New Roman" w:eastAsia="Times New Roman" w:hAnsi="Times New Roman" w:cs="Times New Roman"/>
                <w:sz w:val="26"/>
                <w:szCs w:val="26"/>
                <w:lang w:val="uk-UA" w:eastAsia="ru-RU"/>
              </w:rPr>
              <w:t>10</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530,0</w:t>
            </w: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 3 310,0</w:t>
            </w:r>
          </w:p>
        </w:tc>
        <w:tc>
          <w:tcPr>
            <w:tcW w:w="1597"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0,0</w:t>
            </w: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140,0</w:t>
            </w:r>
          </w:p>
          <w:p w:rsidR="00147494" w:rsidRPr="00147494" w:rsidRDefault="00147494" w:rsidP="00147494">
            <w:pPr>
              <w:jc w:val="center"/>
              <w:rPr>
                <w:rFonts w:ascii="Times New Roman" w:eastAsia="Times New Roman" w:hAnsi="Times New Roman" w:cs="Times New Roman"/>
                <w:sz w:val="26"/>
                <w:szCs w:val="26"/>
                <w:lang w:val="uk-UA" w:eastAsia="ru-RU"/>
              </w:rPr>
            </w:pPr>
          </w:p>
        </w:tc>
      </w:tr>
      <w:tr w:rsidR="00147494" w:rsidRPr="00147494" w:rsidTr="00147494">
        <w:trPr>
          <w:jc w:val="center"/>
        </w:trPr>
        <w:tc>
          <w:tcPr>
            <w:tcW w:w="536"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p>
        </w:tc>
        <w:tc>
          <w:tcPr>
            <w:tcW w:w="169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ind w:right="-57"/>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Разом/втрати  до бюджету</w:t>
            </w:r>
          </w:p>
        </w:tc>
        <w:tc>
          <w:tcPr>
            <w:tcW w:w="113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highlight w:val="yellow"/>
                <w:lang w:val="uk-UA" w:eastAsia="ru-RU"/>
              </w:rPr>
            </w:pPr>
            <w:r w:rsidRPr="00147494">
              <w:rPr>
                <w:rFonts w:ascii="Times New Roman" w:eastAsia="Times New Roman" w:hAnsi="Times New Roman" w:cs="Times New Roman"/>
                <w:sz w:val="26"/>
                <w:szCs w:val="26"/>
                <w:lang w:val="uk-UA" w:eastAsia="ru-RU"/>
              </w:rPr>
              <w:t>Х</w:t>
            </w:r>
          </w:p>
        </w:tc>
        <w:tc>
          <w:tcPr>
            <w:tcW w:w="16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16 269,8</w:t>
            </w:r>
          </w:p>
        </w:tc>
        <w:tc>
          <w:tcPr>
            <w:tcW w:w="16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Х</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Х</w:t>
            </w:r>
          </w:p>
        </w:tc>
        <w:tc>
          <w:tcPr>
            <w:tcW w:w="15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683,1</w:t>
            </w:r>
          </w:p>
        </w:tc>
      </w:tr>
    </w:tbl>
    <w:p w:rsidR="00147494" w:rsidRPr="00147494" w:rsidRDefault="00147494" w:rsidP="00147494">
      <w:pPr>
        <w:widowControl w:val="0"/>
        <w:tabs>
          <w:tab w:val="left" w:pos="851"/>
        </w:tabs>
        <w:ind w:firstLine="567"/>
        <w:jc w:val="both"/>
        <w:rPr>
          <w:rFonts w:ascii="Times New Roman" w:eastAsia="Times New Roman" w:hAnsi="Times New Roman" w:cs="Times New Roman"/>
          <w:i/>
          <w:sz w:val="24"/>
          <w:szCs w:val="24"/>
          <w:shd w:val="clear" w:color="auto" w:fill="FFFFFF"/>
          <w:lang w:eastAsia="ru-RU"/>
        </w:rPr>
      </w:pPr>
    </w:p>
    <w:p w:rsidR="00147494" w:rsidRPr="00147494" w:rsidRDefault="00147494" w:rsidP="00147494">
      <w:pPr>
        <w:widowControl w:val="0"/>
        <w:tabs>
          <w:tab w:val="left" w:pos="851"/>
        </w:tabs>
        <w:ind w:firstLine="567"/>
        <w:jc w:val="both"/>
        <w:rPr>
          <w:rFonts w:ascii="Times New Roman" w:eastAsia="Times New Roman" w:hAnsi="Times New Roman" w:cs="Times New Roman"/>
          <w:i/>
          <w:sz w:val="24"/>
          <w:szCs w:val="24"/>
          <w:lang w:eastAsia="ru-RU"/>
        </w:rPr>
      </w:pPr>
      <w:r w:rsidRPr="00147494">
        <w:rPr>
          <w:rFonts w:ascii="Times New Roman" w:eastAsia="Times New Roman" w:hAnsi="Times New Roman" w:cs="Times New Roman"/>
          <w:i/>
          <w:sz w:val="24"/>
          <w:szCs w:val="24"/>
          <w:shd w:val="clear" w:color="auto" w:fill="FFFFFF"/>
          <w:lang w:eastAsia="ru-RU"/>
        </w:rPr>
        <w:t xml:space="preserve">Примітка: враховуючи те, що транспортний податок встановлюється Податковим кодексом та </w:t>
      </w:r>
      <w:r w:rsidRPr="00147494">
        <w:rPr>
          <w:rFonts w:ascii="Times New Roman" w:eastAsia="Times New Roman" w:hAnsi="Times New Roman" w:cs="Times New Roman"/>
          <w:bCs/>
          <w:i/>
          <w:sz w:val="24"/>
          <w:szCs w:val="24"/>
          <w:shd w:val="clear" w:color="auto" w:fill="FFFFFF"/>
          <w:lang w:eastAsia="ru-RU"/>
        </w:rPr>
        <w:t xml:space="preserve">не </w:t>
      </w:r>
      <w:proofErr w:type="gramStart"/>
      <w:r w:rsidRPr="00147494">
        <w:rPr>
          <w:rFonts w:ascii="Times New Roman" w:eastAsia="Times New Roman" w:hAnsi="Times New Roman" w:cs="Times New Roman"/>
          <w:bCs/>
          <w:i/>
          <w:sz w:val="24"/>
          <w:szCs w:val="24"/>
          <w:shd w:val="clear" w:color="auto" w:fill="FFFFFF"/>
          <w:lang w:eastAsia="ru-RU"/>
        </w:rPr>
        <w:t>п</w:t>
      </w:r>
      <w:proofErr w:type="gramEnd"/>
      <w:r w:rsidRPr="00147494">
        <w:rPr>
          <w:rFonts w:ascii="Times New Roman" w:eastAsia="Times New Roman" w:hAnsi="Times New Roman" w:cs="Times New Roman"/>
          <w:bCs/>
          <w:i/>
          <w:sz w:val="24"/>
          <w:szCs w:val="24"/>
          <w:shd w:val="clear" w:color="auto" w:fill="FFFFFF"/>
          <w:lang w:eastAsia="ru-RU"/>
        </w:rPr>
        <w:t>ідлягає регулюванню органами місцевого самоврядування</w:t>
      </w:r>
      <w:r w:rsidRPr="00147494">
        <w:rPr>
          <w:rFonts w:ascii="Times New Roman" w:eastAsia="Times New Roman" w:hAnsi="Times New Roman" w:cs="Times New Roman"/>
          <w:i/>
          <w:sz w:val="24"/>
          <w:szCs w:val="24"/>
          <w:lang w:eastAsia="ru-RU"/>
        </w:rPr>
        <w:t xml:space="preserve"> він буде справлятись виходячи з норм Кодексу у фіксованому розмірі - 25 000 грн за один об’єкт оподаткування. Обсяг надходжень до місцевого бюджету не зміниться, тому втрати </w:t>
      </w:r>
      <w:proofErr w:type="gramStart"/>
      <w:r w:rsidRPr="00147494">
        <w:rPr>
          <w:rFonts w:ascii="Times New Roman" w:eastAsia="Times New Roman" w:hAnsi="Times New Roman" w:cs="Times New Roman"/>
          <w:i/>
          <w:sz w:val="24"/>
          <w:szCs w:val="24"/>
          <w:lang w:eastAsia="ru-RU"/>
        </w:rPr>
        <w:t>до</w:t>
      </w:r>
      <w:proofErr w:type="gramEnd"/>
      <w:r w:rsidRPr="00147494">
        <w:rPr>
          <w:rFonts w:ascii="Times New Roman" w:eastAsia="Times New Roman" w:hAnsi="Times New Roman" w:cs="Times New Roman"/>
          <w:i/>
          <w:sz w:val="24"/>
          <w:szCs w:val="24"/>
          <w:lang w:eastAsia="ru-RU"/>
        </w:rPr>
        <w:t xml:space="preserve"> бюджету по даному податку не розраховувались.</w:t>
      </w:r>
    </w:p>
    <w:p w:rsidR="00147494" w:rsidRPr="00147494" w:rsidRDefault="00147494" w:rsidP="00147494">
      <w:pPr>
        <w:widowControl w:val="0"/>
        <w:tabs>
          <w:tab w:val="left" w:pos="851"/>
        </w:tabs>
        <w:ind w:firstLine="567"/>
        <w:jc w:val="both"/>
        <w:rPr>
          <w:rFonts w:ascii="Times New Roman" w:eastAsia="Calibri" w:hAnsi="Times New Roman" w:cs="Times New Roman"/>
          <w:i/>
          <w:sz w:val="24"/>
          <w:szCs w:val="24"/>
        </w:rPr>
      </w:pPr>
      <w:r w:rsidRPr="00147494">
        <w:rPr>
          <w:rFonts w:ascii="Times New Roman" w:eastAsia="Times New Roman" w:hAnsi="Times New Roman" w:cs="Times New Roman"/>
          <w:i/>
          <w:sz w:val="24"/>
          <w:szCs w:val="24"/>
          <w:lang w:eastAsia="ru-RU"/>
        </w:rPr>
        <w:t xml:space="preserve">Разом з тим, у разі не прийняття </w:t>
      </w:r>
      <w:proofErr w:type="gramStart"/>
      <w:r w:rsidRPr="00147494">
        <w:rPr>
          <w:rFonts w:ascii="Times New Roman" w:eastAsia="Times New Roman" w:hAnsi="Times New Roman" w:cs="Times New Roman"/>
          <w:i/>
          <w:sz w:val="24"/>
          <w:szCs w:val="24"/>
          <w:lang w:eastAsia="ru-RU"/>
        </w:rPr>
        <w:t>р</w:t>
      </w:r>
      <w:proofErr w:type="gramEnd"/>
      <w:r w:rsidRPr="00147494">
        <w:rPr>
          <w:rFonts w:ascii="Times New Roman" w:eastAsia="Times New Roman" w:hAnsi="Times New Roman" w:cs="Times New Roman"/>
          <w:i/>
          <w:sz w:val="24"/>
          <w:szCs w:val="24"/>
          <w:lang w:eastAsia="ru-RU"/>
        </w:rPr>
        <w:t xml:space="preserve">ішення про встановлення транспортного податку </w:t>
      </w:r>
      <w:r w:rsidRPr="00147494">
        <w:rPr>
          <w:rFonts w:ascii="Times New Roman" w:eastAsia="Times New Roman" w:hAnsi="Times New Roman" w:cs="Times New Roman"/>
          <w:i/>
          <w:sz w:val="24"/>
          <w:szCs w:val="24"/>
          <w:lang w:val="uk-UA" w:eastAsia="ru-RU"/>
        </w:rPr>
        <w:t>сільська</w:t>
      </w:r>
      <w:r w:rsidRPr="00147494">
        <w:rPr>
          <w:rFonts w:ascii="Times New Roman" w:eastAsia="Times New Roman" w:hAnsi="Times New Roman" w:cs="Times New Roman"/>
          <w:i/>
          <w:sz w:val="24"/>
          <w:szCs w:val="24"/>
          <w:lang w:eastAsia="ru-RU"/>
        </w:rPr>
        <w:t xml:space="preserve"> рада порушить норми Податкового кодексу України в частині обов’язкового встановлення цього податку. </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земельний податок, </w:t>
      </w:r>
      <w:r w:rsidRPr="00147494">
        <w:rPr>
          <w:rFonts w:ascii="Times New Roman" w:eastAsia="Times New Roman" w:hAnsi="Times New Roman" w:cs="Times New Roman"/>
          <w:sz w:val="26"/>
          <w:szCs w:val="26"/>
          <w:lang w:val="uk-UA" w:eastAsia="ru-RU"/>
        </w:rPr>
        <w:lastRenderedPageBreak/>
        <w:t>транспортний податок та єдиний податок є джерелами надходжень загального фонду бюджету, за рахунок якого утримуються бюджетні установи, що забезпечують надання послуг населенню громади в галузях освіти, охорони здоров’я, соціального захисту, культури, фізичної культури та спорту.</w:t>
      </w:r>
    </w:p>
    <w:p w:rsidR="00147494" w:rsidRPr="00147494" w:rsidRDefault="00147494" w:rsidP="00147494">
      <w:pPr>
        <w:ind w:firstLine="709"/>
        <w:jc w:val="both"/>
        <w:rPr>
          <w:rFonts w:ascii="Times New Roman" w:eastAsia="Times New Roman" w:hAnsi="Times New Roman" w:cs="Times New Roman"/>
          <w:i/>
          <w:sz w:val="26"/>
          <w:szCs w:val="26"/>
          <w:lang w:val="uk-UA" w:eastAsia="ru-RU"/>
        </w:rPr>
      </w:pPr>
    </w:p>
    <w:p w:rsidR="00147494" w:rsidRPr="00147494" w:rsidRDefault="00147494" w:rsidP="00147494">
      <w:pPr>
        <w:ind w:firstLine="709"/>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i/>
          <w:sz w:val="26"/>
          <w:szCs w:val="26"/>
          <w:lang w:val="uk-UA" w:eastAsia="ru-RU"/>
        </w:rPr>
        <w:t>Основні групи, на які проблема справляє вплив:</w:t>
      </w:r>
    </w:p>
    <w:p w:rsidR="00147494" w:rsidRPr="00147494" w:rsidRDefault="00147494" w:rsidP="00147494">
      <w:pPr>
        <w:ind w:firstLine="709"/>
        <w:jc w:val="both"/>
        <w:rPr>
          <w:rFonts w:ascii="Times New Roman" w:eastAsia="Times New Roman" w:hAnsi="Times New Roman" w:cs="Times New Roman"/>
          <w:i/>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173"/>
        <w:gridCol w:w="3165"/>
      </w:tblGrid>
      <w:tr w:rsidR="00147494" w:rsidRPr="00147494" w:rsidTr="00147494">
        <w:tc>
          <w:tcPr>
            <w:tcW w:w="328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Групи (підгрупи)</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Так</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Ні</w:t>
            </w:r>
          </w:p>
        </w:tc>
      </w:tr>
      <w:tr w:rsidR="00147494" w:rsidRPr="00147494" w:rsidTr="00147494">
        <w:tc>
          <w:tcPr>
            <w:tcW w:w="328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Громадяни</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Так</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w:t>
            </w:r>
          </w:p>
        </w:tc>
      </w:tr>
      <w:tr w:rsidR="00147494" w:rsidRPr="00147494" w:rsidTr="00147494">
        <w:tc>
          <w:tcPr>
            <w:tcW w:w="328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Органи місцевого самоврядування</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Так</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w:t>
            </w:r>
          </w:p>
        </w:tc>
      </w:tr>
      <w:tr w:rsidR="00147494" w:rsidRPr="00147494" w:rsidTr="00147494">
        <w:tc>
          <w:tcPr>
            <w:tcW w:w="328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Суб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єкти господарювання, у тому числі суб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єкти малого підприємництва</w:t>
            </w:r>
          </w:p>
        </w:tc>
        <w:tc>
          <w:tcPr>
            <w:tcW w:w="3285"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Так</w:t>
            </w:r>
          </w:p>
          <w:p w:rsidR="00147494" w:rsidRPr="00147494" w:rsidRDefault="00147494" w:rsidP="00147494">
            <w:pPr>
              <w:jc w:val="center"/>
              <w:rPr>
                <w:rFonts w:ascii="Times New Roman" w:eastAsia="Times New Roman" w:hAnsi="Times New Roman" w:cs="Times New Roman"/>
                <w:sz w:val="26"/>
                <w:szCs w:val="26"/>
                <w:lang w:val="uk-UA" w:eastAsia="ru-RU"/>
              </w:rPr>
            </w:pPr>
          </w:p>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Так</w:t>
            </w:r>
          </w:p>
        </w:tc>
        <w:tc>
          <w:tcPr>
            <w:tcW w:w="328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w:t>
            </w:r>
          </w:p>
        </w:tc>
      </w:tr>
    </w:tbl>
    <w:p w:rsidR="00147494" w:rsidRPr="00147494" w:rsidRDefault="00147494" w:rsidP="00147494">
      <w:pPr>
        <w:ind w:firstLine="567"/>
        <w:jc w:val="both"/>
        <w:rPr>
          <w:rFonts w:ascii="Times New Roman" w:eastAsia="Times New Roman" w:hAnsi="Times New Roman" w:cs="Times New Roman"/>
          <w:b/>
          <w:bCs/>
          <w:sz w:val="27"/>
          <w:szCs w:val="27"/>
          <w:lang w:eastAsia="ru-RU"/>
        </w:rPr>
      </w:pPr>
    </w:p>
    <w:p w:rsidR="00147494" w:rsidRPr="00147494" w:rsidRDefault="00147494" w:rsidP="00147494">
      <w:pPr>
        <w:ind w:firstLine="567"/>
        <w:jc w:val="both"/>
        <w:rPr>
          <w:rFonts w:ascii="Times New Roman" w:eastAsia="Times New Roman" w:hAnsi="Times New Roman" w:cs="Times New Roman"/>
          <w:b/>
          <w:bCs/>
          <w:sz w:val="26"/>
          <w:szCs w:val="26"/>
          <w:lang w:eastAsia="ru-RU"/>
        </w:rPr>
      </w:pPr>
      <w:r w:rsidRPr="00147494">
        <w:rPr>
          <w:rFonts w:ascii="Times New Roman" w:eastAsia="Times New Roman" w:hAnsi="Times New Roman" w:cs="Times New Roman"/>
          <w:b/>
          <w:bCs/>
          <w:sz w:val="26"/>
          <w:szCs w:val="26"/>
          <w:lang w:eastAsia="ru-RU"/>
        </w:rPr>
        <w:t>Обґрунтування неможливості вирішення проблеми за допомогою ринкових механізмі</w:t>
      </w:r>
      <w:proofErr w:type="gramStart"/>
      <w:r w:rsidRPr="00147494">
        <w:rPr>
          <w:rFonts w:ascii="Times New Roman" w:eastAsia="Times New Roman" w:hAnsi="Times New Roman" w:cs="Times New Roman"/>
          <w:b/>
          <w:bCs/>
          <w:sz w:val="26"/>
          <w:szCs w:val="26"/>
          <w:lang w:eastAsia="ru-RU"/>
        </w:rPr>
        <w:t>в</w:t>
      </w:r>
      <w:proofErr w:type="gramEnd"/>
      <w:r w:rsidRPr="00147494">
        <w:rPr>
          <w:rFonts w:ascii="Times New Roman" w:eastAsia="Times New Roman" w:hAnsi="Times New Roman" w:cs="Times New Roman"/>
          <w:b/>
          <w:bCs/>
          <w:sz w:val="26"/>
          <w:szCs w:val="26"/>
          <w:lang w:eastAsia="ru-RU"/>
        </w:rPr>
        <w:t>:</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Застосування ринкових механізмів для вирішення вказаної проблеми не можливе,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147494" w:rsidRPr="00147494" w:rsidRDefault="00147494" w:rsidP="00147494">
      <w:pPr>
        <w:ind w:firstLine="567"/>
        <w:jc w:val="both"/>
        <w:rPr>
          <w:rFonts w:ascii="Times New Roman" w:eastAsia="Times New Roman" w:hAnsi="Times New Roman" w:cs="Times New Roman"/>
          <w:b/>
          <w:bCs/>
          <w:sz w:val="26"/>
          <w:szCs w:val="26"/>
          <w:lang w:eastAsia="ru-RU"/>
        </w:rPr>
      </w:pPr>
      <w:r w:rsidRPr="00147494">
        <w:rPr>
          <w:rFonts w:ascii="Times New Roman" w:eastAsia="Times New Roman" w:hAnsi="Times New Roman" w:cs="Times New Roman"/>
          <w:b/>
          <w:bCs/>
          <w:sz w:val="26"/>
          <w:szCs w:val="26"/>
          <w:lang w:eastAsia="ru-RU"/>
        </w:rPr>
        <w:t>Обґрунтування неможливості вирішення проблеми за допомогою діючих регуляторних акті</w:t>
      </w:r>
      <w:proofErr w:type="gramStart"/>
      <w:r w:rsidRPr="00147494">
        <w:rPr>
          <w:rFonts w:ascii="Times New Roman" w:eastAsia="Times New Roman" w:hAnsi="Times New Roman" w:cs="Times New Roman"/>
          <w:b/>
          <w:bCs/>
          <w:sz w:val="26"/>
          <w:szCs w:val="26"/>
          <w:lang w:eastAsia="ru-RU"/>
        </w:rPr>
        <w:t>в</w:t>
      </w:r>
      <w:proofErr w:type="gramEnd"/>
      <w:r w:rsidRPr="00147494">
        <w:rPr>
          <w:rFonts w:ascii="Times New Roman" w:eastAsia="Times New Roman" w:hAnsi="Times New Roman" w:cs="Times New Roman"/>
          <w:b/>
          <w:bCs/>
          <w:sz w:val="26"/>
          <w:szCs w:val="26"/>
          <w:lang w:eastAsia="ru-RU"/>
        </w:rPr>
        <w:t>:</w:t>
      </w:r>
    </w:p>
    <w:p w:rsidR="00147494" w:rsidRPr="00147494" w:rsidRDefault="00147494" w:rsidP="00147494">
      <w:pPr>
        <w:ind w:firstLine="567"/>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eastAsia="ru-RU"/>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w:t>
      </w:r>
      <w:r w:rsidRPr="00147494">
        <w:rPr>
          <w:rFonts w:ascii="Times New Roman" w:eastAsia="Times New Roman" w:hAnsi="Times New Roman" w:cs="Times New Roman"/>
          <w:sz w:val="26"/>
          <w:szCs w:val="26"/>
          <w:lang w:val="uk-UA" w:eastAsia="ru-RU"/>
        </w:rPr>
        <w:t>сільська</w:t>
      </w:r>
      <w:r w:rsidRPr="00147494">
        <w:rPr>
          <w:rFonts w:ascii="Times New Roman" w:eastAsia="Times New Roman" w:hAnsi="Times New Roman" w:cs="Times New Roman"/>
          <w:sz w:val="26"/>
          <w:szCs w:val="26"/>
          <w:lang w:eastAsia="ru-RU"/>
        </w:rPr>
        <w:t xml:space="preserve"> рада у термін до 15 липня не прийняла та до 25 липня не оприлюднила </w:t>
      </w:r>
      <w:proofErr w:type="gramStart"/>
      <w:r w:rsidRPr="00147494">
        <w:rPr>
          <w:rFonts w:ascii="Times New Roman" w:eastAsia="Times New Roman" w:hAnsi="Times New Roman" w:cs="Times New Roman"/>
          <w:sz w:val="26"/>
          <w:szCs w:val="26"/>
          <w:lang w:eastAsia="ru-RU"/>
        </w:rPr>
        <w:t>р</w:t>
      </w:r>
      <w:proofErr w:type="gramEnd"/>
      <w:r w:rsidRPr="00147494">
        <w:rPr>
          <w:rFonts w:ascii="Times New Roman" w:eastAsia="Times New Roman" w:hAnsi="Times New Roman" w:cs="Times New Roman"/>
          <w:sz w:val="26"/>
          <w:szCs w:val="26"/>
          <w:lang w:eastAsia="ru-RU"/>
        </w:rPr>
        <w:t xml:space="preserve">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w:t>
      </w:r>
      <w:r w:rsidRPr="00147494">
        <w:rPr>
          <w:rFonts w:ascii="Times New Roman" w:eastAsia="Times New Roman" w:hAnsi="Times New Roman" w:cs="Times New Roman"/>
          <w:bCs/>
          <w:sz w:val="26"/>
          <w:szCs w:val="26"/>
          <w:lang w:eastAsia="ru-RU"/>
        </w:rPr>
        <w:t>ставок, які діяли до 31 грудня року, що передує бюджетному періоду, в якому планується застосування таких місцевих податкі</w:t>
      </w:r>
      <w:proofErr w:type="gramStart"/>
      <w:r w:rsidRPr="00147494">
        <w:rPr>
          <w:rFonts w:ascii="Times New Roman" w:eastAsia="Times New Roman" w:hAnsi="Times New Roman" w:cs="Times New Roman"/>
          <w:bCs/>
          <w:sz w:val="26"/>
          <w:szCs w:val="26"/>
          <w:lang w:eastAsia="ru-RU"/>
        </w:rPr>
        <w:t>в</w:t>
      </w:r>
      <w:proofErr w:type="gramEnd"/>
      <w:r w:rsidRPr="00147494">
        <w:rPr>
          <w:rFonts w:ascii="Times New Roman" w:eastAsia="Times New Roman" w:hAnsi="Times New Roman" w:cs="Times New Roman"/>
          <w:bCs/>
          <w:sz w:val="26"/>
          <w:szCs w:val="26"/>
          <w:lang w:eastAsia="ru-RU"/>
        </w:rPr>
        <w:t xml:space="preserve"> та/або зборів.</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Отже, з метою правового регулювання господарських і адміністративних відносин між органом місцевого самоврядування та суб’єктами господарювання, недопущення суперечливих ситуацій, безумовного виконання вимог Податкового кодексу України, забезпечення виконання Стратегії сталого розвитку   Мостівської об’єднаної територіальної громади Миколаївської області на  2018 – 2026 роки, вказана проблема потребує розв’язання шляхом прийняття рішення </w:t>
      </w:r>
      <w:r w:rsidRPr="00147494">
        <w:rPr>
          <w:rFonts w:ascii="Times New Roman" w:eastAsia="Times New Roman" w:hAnsi="Times New Roman" w:cs="Times New Roman"/>
          <w:sz w:val="26"/>
          <w:szCs w:val="26"/>
          <w:lang w:val="uk-UA"/>
        </w:rPr>
        <w:t>«</w:t>
      </w:r>
      <w:r w:rsidRPr="00147494">
        <w:rPr>
          <w:rFonts w:ascii="Times New Roman" w:eastAsia="Times New Roman" w:hAnsi="Times New Roman" w:cs="Times New Roman"/>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sz w:val="26"/>
          <w:szCs w:val="26"/>
          <w:lang w:val="uk-UA"/>
        </w:rPr>
        <w:t>».</w:t>
      </w:r>
    </w:p>
    <w:p w:rsidR="00147494" w:rsidRPr="00147494" w:rsidRDefault="00147494" w:rsidP="00147494">
      <w:pPr>
        <w:ind w:firstLine="709"/>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 xml:space="preserve">2. Цілі державного регулювання. </w:t>
      </w:r>
    </w:p>
    <w:p w:rsidR="00147494" w:rsidRPr="00147494" w:rsidRDefault="00147494" w:rsidP="00147494">
      <w:pPr>
        <w:ind w:firstLine="709"/>
        <w:jc w:val="both"/>
        <w:rPr>
          <w:rFonts w:ascii="Times New Roman" w:eastAsia="Times New Roman" w:hAnsi="Times New Roman" w:cs="Times New Roman"/>
          <w:b/>
          <w:sz w:val="26"/>
          <w:szCs w:val="26"/>
          <w:lang w:val="uk-UA" w:eastAsia="ru-RU"/>
        </w:rPr>
      </w:pP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eastAsia="ru-RU"/>
        </w:rPr>
        <w:t xml:space="preserve">Проєкт регуляторного акта спрямований на розв’язання проблеми, визначеної у попередньому розділі АРВ, в цілому. Основними цілями його </w:t>
      </w:r>
      <w:r w:rsidRPr="00147494">
        <w:rPr>
          <w:rFonts w:ascii="Times New Roman" w:eastAsia="Times New Roman" w:hAnsi="Times New Roman" w:cs="Times New Roman"/>
          <w:sz w:val="26"/>
          <w:szCs w:val="26"/>
          <w:lang w:val="uk-UA" w:eastAsia="ru-RU"/>
        </w:rPr>
        <w:t>регулюванн</w:t>
      </w:r>
      <w:r w:rsidRPr="00147494">
        <w:rPr>
          <w:rFonts w:ascii="Times New Roman" w:eastAsia="Times New Roman" w:hAnsi="Times New Roman" w:cs="Times New Roman"/>
          <w:sz w:val="26"/>
          <w:szCs w:val="26"/>
          <w:lang w:eastAsia="ru-RU"/>
        </w:rPr>
        <w:t>я</w:t>
      </w:r>
      <w:proofErr w:type="gramStart"/>
      <w:r w:rsidRPr="00147494">
        <w:rPr>
          <w:rFonts w:ascii="Times New Roman" w:eastAsia="Times New Roman" w:hAnsi="Times New Roman" w:cs="Times New Roman"/>
          <w:sz w:val="26"/>
          <w:szCs w:val="26"/>
          <w:lang w:eastAsia="ru-RU"/>
        </w:rPr>
        <w:t xml:space="preserve"> є:</w:t>
      </w:r>
      <w:proofErr w:type="gramEnd"/>
    </w:p>
    <w:p w:rsidR="00147494" w:rsidRPr="00147494" w:rsidRDefault="00147494" w:rsidP="00147494">
      <w:pPr>
        <w:ind w:right="-5"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врегулювання місцевих податків та зборів на території Мостівської сільської ТГ відповідно до Закону України «Про засади державної регуляторної політики у сфері господарської діяльності» та Податкового кодексу України;</w:t>
      </w:r>
    </w:p>
    <w:p w:rsidR="00147494" w:rsidRPr="00147494" w:rsidRDefault="00147494" w:rsidP="00147494">
      <w:pPr>
        <w:ind w:right="-5"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 встановлення доцільних та обґрунтованих розмірів ставок місцевих податків, зокрема по податку на майно (податку на нерухоме майно, відмінне від земельної ділянки, плати за землю, транспортного податку), по єдиному податку </w:t>
      </w:r>
      <w:r w:rsidRPr="00147494">
        <w:rPr>
          <w:rFonts w:ascii="Times New Roman" w:eastAsia="Times New Roman" w:hAnsi="Times New Roman" w:cs="Times New Roman"/>
          <w:sz w:val="26"/>
          <w:szCs w:val="26"/>
          <w:lang w:val="uk-UA" w:eastAsia="ru-RU"/>
        </w:rPr>
        <w:lastRenderedPageBreak/>
        <w:t>(фізичним особам 1, 2 груп) відповідно до вимог Податкового кодексу України,</w:t>
      </w:r>
      <w:r w:rsidRPr="00147494">
        <w:rPr>
          <w:rFonts w:ascii="Times New Roman" w:eastAsia="Times New Roman" w:hAnsi="Times New Roman" w:cs="Times New Roman"/>
          <w:i/>
          <w:sz w:val="26"/>
          <w:szCs w:val="26"/>
          <w:lang w:val="uk-UA" w:eastAsia="ru-RU"/>
        </w:rPr>
        <w:t xml:space="preserve"> </w:t>
      </w:r>
      <w:r w:rsidRPr="00147494">
        <w:rPr>
          <w:rFonts w:ascii="Times New Roman" w:eastAsia="Times New Roman" w:hAnsi="Times New Roman" w:cs="Times New Roman"/>
          <w:sz w:val="26"/>
          <w:szCs w:val="26"/>
          <w:lang w:val="uk-UA" w:eastAsia="ru-RU"/>
        </w:rPr>
        <w:t>які б враховували особливості території, інтереси громадян і суб’єктів господарювання та дозволили б збільшити наповнення дохідної частини сільського бюджету  для виконання Стратегії сталого розвитку   Мостівської об’єднаної територіальної громади Миколаївської області на  2018 – 2026 роки;</w:t>
      </w:r>
    </w:p>
    <w:p w:rsidR="00147494" w:rsidRPr="00147494" w:rsidRDefault="00147494" w:rsidP="00147494">
      <w:pPr>
        <w:ind w:right="-5"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забезпечення прозорості та відкритості надходження та використання коштів бюджету;</w:t>
      </w:r>
    </w:p>
    <w:p w:rsidR="00147494" w:rsidRPr="00147494" w:rsidRDefault="00147494" w:rsidP="00147494">
      <w:pPr>
        <w:ind w:right="-5"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 </w:t>
      </w:r>
      <w:r w:rsidRPr="00147494">
        <w:rPr>
          <w:rFonts w:ascii="Times New Roman" w:eastAsia="Times New Roman" w:hAnsi="Times New Roman" w:cs="Times New Roman"/>
          <w:sz w:val="26"/>
          <w:szCs w:val="26"/>
          <w:lang w:eastAsia="ru-RU"/>
        </w:rPr>
        <w:t xml:space="preserve">встановлення пільг, щодо сплати </w:t>
      </w:r>
      <w:r w:rsidRPr="00147494">
        <w:rPr>
          <w:rFonts w:ascii="Times New Roman" w:eastAsia="Times New Roman" w:hAnsi="Times New Roman" w:cs="Times New Roman"/>
          <w:sz w:val="26"/>
          <w:szCs w:val="26"/>
          <w:lang w:val="uk-UA" w:eastAsia="ru-RU"/>
        </w:rPr>
        <w:t>податку на нерухоме майно, відмінне від земельної ділянки</w:t>
      </w:r>
      <w:r w:rsidRPr="00147494">
        <w:rPr>
          <w:rFonts w:ascii="Times New Roman" w:eastAsia="Times New Roman" w:hAnsi="Times New Roman" w:cs="Times New Roman"/>
          <w:sz w:val="26"/>
          <w:szCs w:val="26"/>
          <w:lang w:eastAsia="ru-RU"/>
        </w:rPr>
        <w:t>;</w:t>
      </w:r>
    </w:p>
    <w:p w:rsidR="00147494" w:rsidRPr="00147494" w:rsidRDefault="00147494" w:rsidP="00147494">
      <w:pPr>
        <w:ind w:right="-5"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забезпечення максимальної прозорості та відкритості органів місцевого самоврядування та вдосконалення відносин між сільською радою та суб’єктами господарювання, пов’язаними з оподаткуванням місцевими податками.</w:t>
      </w:r>
    </w:p>
    <w:p w:rsidR="00147494" w:rsidRPr="00147494" w:rsidRDefault="00147494" w:rsidP="00147494">
      <w:pPr>
        <w:ind w:right="-5" w:firstLine="709"/>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sz w:val="26"/>
          <w:szCs w:val="26"/>
          <w:lang w:val="uk-UA" w:eastAsia="ru-RU"/>
        </w:rPr>
        <w:t>Відповідно до п.</w:t>
      </w:r>
      <w:r w:rsidRPr="00147494">
        <w:rPr>
          <w:rFonts w:ascii="Times New Roman" w:eastAsia="Times New Roman" w:hAnsi="Times New Roman" w:cs="Times New Roman"/>
          <w:sz w:val="26"/>
          <w:szCs w:val="26"/>
          <w:shd w:val="clear" w:color="auto" w:fill="FFFFFF"/>
          <w:lang w:val="uk-UA" w:eastAsia="ru-RU"/>
        </w:rPr>
        <w:t xml:space="preserve">12.3.5. ст.12 Податкового Кодексу України, у разі, якщо сільська, селищна, міська рада не прийняла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тому рішення має бути вчасно прийняте, опубліковане та подане до </w:t>
      </w:r>
      <w:bookmarkStart w:id="2" w:name="_Hlk73084753"/>
      <w:r w:rsidRPr="00147494">
        <w:rPr>
          <w:rFonts w:ascii="Times New Roman" w:eastAsia="Times New Roman" w:hAnsi="Times New Roman" w:cs="Times New Roman"/>
          <w:sz w:val="26"/>
          <w:szCs w:val="26"/>
          <w:shd w:val="clear" w:color="auto" w:fill="FFFFFF"/>
          <w:lang w:val="uk-UA" w:eastAsia="ru-RU"/>
        </w:rPr>
        <w:t>Доманівська ДПІ Южноукраїнського управління ГУ ДПС у Миколаївській області.</w:t>
      </w:r>
    </w:p>
    <w:bookmarkEnd w:id="2"/>
    <w:p w:rsidR="00147494" w:rsidRPr="00147494" w:rsidRDefault="00147494" w:rsidP="00147494">
      <w:pPr>
        <w:ind w:firstLine="709"/>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b/>
          <w:sz w:val="26"/>
          <w:szCs w:val="26"/>
          <w:lang w:eastAsia="ru-RU"/>
        </w:rPr>
        <w:t>3. Визначення та оцінка альтернативних способів досягнення встановлення цілей</w:t>
      </w:r>
      <w:r w:rsidRPr="00147494">
        <w:rPr>
          <w:rFonts w:ascii="Times New Roman" w:eastAsia="Times New Roman" w:hAnsi="Times New Roman" w:cs="Times New Roman"/>
          <w:sz w:val="26"/>
          <w:szCs w:val="26"/>
          <w:lang w:eastAsia="ru-RU"/>
        </w:rPr>
        <w:t>.</w:t>
      </w:r>
    </w:p>
    <w:p w:rsidR="00147494" w:rsidRPr="00147494" w:rsidRDefault="00147494" w:rsidP="00147494">
      <w:pPr>
        <w:ind w:firstLine="709"/>
        <w:jc w:val="both"/>
        <w:rPr>
          <w:rFonts w:ascii="Times New Roman" w:eastAsia="Times New Roman" w:hAnsi="Times New Roman" w:cs="Times New Roman"/>
          <w:sz w:val="26"/>
          <w:szCs w:val="26"/>
          <w:lang w:eastAsia="ru-RU"/>
        </w:rPr>
      </w:pPr>
    </w:p>
    <w:p w:rsidR="00147494" w:rsidRPr="00147494" w:rsidRDefault="00147494" w:rsidP="00147494">
      <w:pPr>
        <w:ind w:firstLine="709"/>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i/>
          <w:sz w:val="26"/>
          <w:szCs w:val="26"/>
          <w:lang w:val="uk-UA" w:eastAsia="ru-RU"/>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147494" w:rsidRPr="00147494" w:rsidTr="00147494">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Вид альтернативи</w:t>
            </w:r>
          </w:p>
        </w:tc>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Опис альтернативи</w:t>
            </w:r>
          </w:p>
        </w:tc>
      </w:tr>
      <w:tr w:rsidR="00147494" w:rsidRPr="00147494" w:rsidTr="00147494">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w:t>
            </w:r>
          </w:p>
        </w:tc>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r>
      <w:tr w:rsidR="00147494" w:rsidRPr="00147494" w:rsidTr="00147494">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Альтернатива 1</w:t>
            </w:r>
          </w:p>
          <w:p w:rsidR="00147494" w:rsidRPr="00147494" w:rsidRDefault="00147494" w:rsidP="00147494">
            <w:pPr>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i/>
                <w:sz w:val="26"/>
                <w:szCs w:val="26"/>
                <w:lang w:val="uk-UA" w:eastAsia="ru-RU"/>
              </w:rPr>
              <w:t>Встановлення мінімальних ставок.</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Встановлення ставок, </w:t>
            </w:r>
            <w:r w:rsidRPr="00147494">
              <w:rPr>
                <w:rFonts w:ascii="Times New Roman" w:eastAsia="Times New Roman" w:hAnsi="Times New Roman" w:cs="Times New Roman"/>
                <w:noProof/>
                <w:sz w:val="26"/>
                <w:szCs w:val="26"/>
                <w:lang w:val="uk-UA" w:eastAsia="ru-RU"/>
              </w:rPr>
              <w:t>які діяли до 31 грудня року, що передує бюджетному періоду, в якому планується застосування</w:t>
            </w:r>
            <w:r w:rsidRPr="00147494">
              <w:rPr>
                <w:rFonts w:ascii="Times New Roman" w:eastAsia="Times New Roman" w:hAnsi="Times New Roman" w:cs="Times New Roman"/>
                <w:sz w:val="26"/>
                <w:szCs w:val="26"/>
                <w:lang w:val="uk-UA" w:eastAsia="ru-RU"/>
              </w:rPr>
              <w:t xml:space="preserve"> податку на нерухоме майно, відмінне від земельної ділянки, від розміру мінімальної заробітної плати, установленої законом на 01 січня звітного (податкового) року, за 1 кв. м. бази оподаткування.</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bCs/>
                <w:sz w:val="26"/>
                <w:szCs w:val="26"/>
                <w:lang w:val="uk-UA" w:eastAsia="ru-RU"/>
              </w:rPr>
              <w:t xml:space="preserve">Плата за землю із </w:t>
            </w:r>
            <w:r w:rsidRPr="00147494">
              <w:rPr>
                <w:rFonts w:ascii="Times New Roman" w:eastAsia="Times New Roman" w:hAnsi="Times New Roman" w:cs="Times New Roman"/>
                <w:noProof/>
                <w:sz w:val="26"/>
                <w:szCs w:val="26"/>
                <w:lang w:val="uk-UA" w:eastAsia="ru-RU"/>
              </w:rPr>
              <w:t>застосуванням ставок, які діяли до 31 грудня року, що передує бюджетному періоду, в якому планується застосування плати за землю.</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Встановлення ставок єдиного податку, </w:t>
            </w:r>
            <w:r w:rsidRPr="00147494">
              <w:rPr>
                <w:rFonts w:ascii="Times New Roman" w:eastAsia="Times New Roman" w:hAnsi="Times New Roman" w:cs="Times New Roman"/>
                <w:noProof/>
                <w:sz w:val="26"/>
                <w:szCs w:val="26"/>
                <w:lang w:val="uk-UA" w:eastAsia="ru-RU"/>
              </w:rPr>
              <w:t>які діяли до 31 грудня року, що передує бюджетному періоду</w:t>
            </w:r>
            <w:r w:rsidRPr="00147494">
              <w:rPr>
                <w:rFonts w:ascii="Times New Roman" w:eastAsia="Times New Roman" w:hAnsi="Times New Roman" w:cs="Times New Roman"/>
                <w:sz w:val="26"/>
                <w:szCs w:val="26"/>
                <w:lang w:val="uk-UA" w:eastAsia="ru-RU"/>
              </w:rPr>
              <w:t>.</w:t>
            </w:r>
          </w:p>
        </w:tc>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highlight w:val="yellow"/>
                <w:lang w:val="uk-UA" w:eastAsia="ru-RU"/>
              </w:rPr>
            </w:pPr>
            <w:r w:rsidRPr="00147494">
              <w:rPr>
                <w:rFonts w:ascii="Times New Roman" w:eastAsia="Times New Roman" w:hAnsi="Times New Roman" w:cs="Times New Roman"/>
                <w:sz w:val="26"/>
                <w:szCs w:val="26"/>
                <w:lang w:val="uk-UA" w:eastAsia="ru-RU"/>
              </w:rPr>
              <w:t xml:space="preserve">Альтернатива неприйнятна. Наслідком є недоотримання надходжень до бюджету коштів на прогнозному рівні 43,1 тис. грн по податку на нерухоме майно, відмінне від земельної ділянки, 500,0 тис. грн по земельному податку та 140,0 тис. грн по єдиному податку (беремо до уваги лише платників 1 та 2 групи, по яких проєктом встановлюються ставки),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ростом індексу споживчих цін. Негативний вплив буде завдано територіальній громаді, оскільки відсутність надходжень до бюджету ставить під загрозу фінансування соціально важливих сільських програм, бюджетної сфери в галузях освіти, </w:t>
            </w:r>
            <w:r w:rsidRPr="00147494">
              <w:rPr>
                <w:rFonts w:ascii="Times New Roman" w:eastAsia="Times New Roman" w:hAnsi="Times New Roman" w:cs="Times New Roman"/>
                <w:sz w:val="26"/>
                <w:szCs w:val="26"/>
                <w:lang w:val="uk-UA" w:eastAsia="ru-RU"/>
              </w:rPr>
              <w:lastRenderedPageBreak/>
              <w:t>охорони здоровя, соціального захисту, культури, фізичної культури та спорту, житлово-комунального та дорожнього господарства.</w:t>
            </w:r>
          </w:p>
        </w:tc>
      </w:tr>
      <w:tr w:rsidR="00147494" w:rsidRPr="00147494" w:rsidTr="00147494">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lastRenderedPageBreak/>
              <w:t>Альтернатива 2</w:t>
            </w:r>
          </w:p>
          <w:p w:rsidR="00147494" w:rsidRPr="00147494" w:rsidRDefault="00147494" w:rsidP="00147494">
            <w:pPr>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i/>
                <w:sz w:val="26"/>
                <w:szCs w:val="26"/>
                <w:lang w:val="uk-UA" w:eastAsia="ru-RU"/>
              </w:rPr>
              <w:t xml:space="preserve">Встановлення ставок податків згідно проєкту рішення. </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Встановлення диференційованого розміру ставок податку залежно від типів об’єктів нерухомості та місця їх розташування (зональності) як запропоновано в проєкті рішення.</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Встановлення диференційованого розміру ставок земельного податку відповідно до класифікації видів цільового призначення земель.</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Встановлення ставок єдиного податку для платників І групи – 10% та ІІ групи –     15%.</w:t>
            </w:r>
          </w:p>
        </w:tc>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sz w:val="26"/>
                <w:szCs w:val="26"/>
                <w:lang w:val="uk-UA" w:eastAsia="ru-RU"/>
              </w:rPr>
              <w:t xml:space="preserve">Застосування альтернативи є найбільш прийнятним. Забезпечує досягнення цілей державного регулювання повною мірою. Ставки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 Встановлення диференційованого розміру ставок земельного податку відповідно до класифікації видів цільового призначення земель. Ставка єдиного податку для платників </w:t>
            </w:r>
            <w:r w:rsidRPr="00147494">
              <w:rPr>
                <w:rFonts w:ascii="Times New Roman" w:eastAsia="Times New Roman" w:hAnsi="Times New Roman" w:cs="Times New Roman"/>
                <w:sz w:val="26"/>
                <w:szCs w:val="26"/>
                <w:lang w:val="en-US" w:eastAsia="ru-RU"/>
              </w:rPr>
              <w:t>I</w:t>
            </w:r>
            <w:r w:rsidRPr="00147494">
              <w:rPr>
                <w:rFonts w:ascii="Times New Roman" w:eastAsia="Times New Roman" w:hAnsi="Times New Roman" w:cs="Times New Roman"/>
                <w:sz w:val="26"/>
                <w:szCs w:val="26"/>
                <w:lang w:val="uk-UA" w:eastAsia="ru-RU"/>
              </w:rPr>
              <w:t>І групи, в порівнянні з 2021 роком зросла на 8%. В грошовому еквіваленті різниця між встановленням ставки на рівні 10 та 20 відсотків становить 140,0 тис.грн. Ставки податків були обговорені та узгоджені консультаційно, на робочих нарадах та зустрічах, на спільному засіданні постійних депутатських комісій, членами яких також є платники податків.</w:t>
            </w:r>
          </w:p>
        </w:tc>
      </w:tr>
      <w:tr w:rsidR="00147494" w:rsidRPr="00147494" w:rsidTr="00147494">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Альтернатива 3</w:t>
            </w:r>
          </w:p>
          <w:p w:rsidR="00147494" w:rsidRPr="00147494" w:rsidRDefault="00147494" w:rsidP="00147494">
            <w:pPr>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i/>
                <w:sz w:val="26"/>
                <w:szCs w:val="26"/>
                <w:lang w:val="uk-UA" w:eastAsia="ru-RU"/>
              </w:rPr>
              <w:t>Встановлення максимальних ставок.</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Встановлення максимальної ставки податку на нерухоме майно, відмінне від земельної ділянки, 1% розміру мінімальної заробітної плати, установленої законом на 01 січня звітного (податкового) року, за 1 кв.м. бази оподаткування.</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Встановлення максимальної ставки земельного податку 3% від нормативної грошової оцінки земель (для сільськогосподарських угідь та земель загального користування 0,9%)</w:t>
            </w:r>
          </w:p>
        </w:tc>
        <w:tc>
          <w:tcPr>
            <w:tcW w:w="4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i/>
                <w:sz w:val="26"/>
                <w:szCs w:val="26"/>
                <w:lang w:val="uk-UA" w:eastAsia="ru-RU"/>
              </w:rPr>
            </w:pPr>
            <w:r w:rsidRPr="00147494">
              <w:rPr>
                <w:rFonts w:ascii="Times New Roman" w:eastAsia="Times New Roman" w:hAnsi="Times New Roman" w:cs="Times New Roman"/>
                <w:sz w:val="26"/>
                <w:szCs w:val="26"/>
                <w:lang w:val="uk-UA" w:eastAsia="ru-RU"/>
              </w:rPr>
              <w:t>Альтернатива неприйнятна так як установлення максимальної ставки податку для об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єктів житлової та/або нежитлової нерухомості, що перебуває у власності фізичних та/або юридичних осіб значно збільшить податкове навантаженння на платників податку. Вартість 1 кв.м. об’єкта оподаткування становитиме 67,0 грн (</w:t>
            </w:r>
            <w:r w:rsidRPr="00147494">
              <w:rPr>
                <w:rFonts w:ascii="Times New Roman" w:eastAsia="Times New Roman" w:hAnsi="Times New Roman" w:cs="Times New Roman"/>
                <w:i/>
                <w:sz w:val="26"/>
                <w:szCs w:val="26"/>
                <w:lang w:val="uk-UA" w:eastAsia="ru-RU"/>
              </w:rPr>
              <w:t xml:space="preserve">розмір мінімальної заробітної плати на 01.01.2020 року – 4723,00 грн, на 01.01.2021 року – 6000,00 грн, прогноз на 2022 рік – 6700,00 грн). </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Дана альтернатива призведе до загострення соціальної напруги серед мешканців громади, що є неприйнятним.</w:t>
            </w:r>
          </w:p>
        </w:tc>
      </w:tr>
    </w:tbl>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i/>
          <w:sz w:val="26"/>
          <w:szCs w:val="26"/>
          <w:lang w:val="uk-UA"/>
        </w:rPr>
      </w:pP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2. Оцінка вибраних альтернативних способів досягнення цілей.</w:t>
      </w: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b/>
          <w:sz w:val="24"/>
          <w:szCs w:val="24"/>
          <w:lang w:val="uk-UA"/>
        </w:rPr>
      </w:pPr>
      <w:r w:rsidRPr="00147494">
        <w:rPr>
          <w:rFonts w:ascii="Times New Roman" w:eastAsia="Calibri" w:hAnsi="Times New Roman" w:cs="Times New Roman"/>
          <w:b/>
          <w:sz w:val="24"/>
          <w:szCs w:val="24"/>
          <w:lang w:val="uk-UA"/>
        </w:rPr>
        <w:t>Оцінка впливу на сферу інтересів органів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536"/>
        <w:gridCol w:w="2800"/>
      </w:tblGrid>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Вид альтернативи</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Вигоди</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Альтернатива 1 </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мінімальних ставок</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Відсутні.</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Відсутні.</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2</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ставок податків згідно проєкту рішення</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sz w:val="26"/>
                <w:szCs w:val="26"/>
                <w:lang w:val="uk-UA"/>
              </w:rPr>
            </w:pPr>
            <w:r w:rsidRPr="00147494">
              <w:rPr>
                <w:sz w:val="26"/>
                <w:szCs w:val="26"/>
                <w:lang w:val="uk-UA"/>
              </w:rPr>
              <w:t>Забезпечує досягнення цілей державного регулювання.</w:t>
            </w:r>
          </w:p>
          <w:p w:rsidR="00147494" w:rsidRPr="00147494" w:rsidRDefault="00147494" w:rsidP="00147494">
            <w:pPr>
              <w:rPr>
                <w:sz w:val="26"/>
                <w:szCs w:val="26"/>
                <w:lang w:val="uk-UA"/>
              </w:rPr>
            </w:pPr>
            <w:r w:rsidRPr="00147494">
              <w:rPr>
                <w:sz w:val="26"/>
                <w:szCs w:val="26"/>
                <w:lang w:val="uk-UA"/>
              </w:rPr>
              <w:t>Враховує пропозиції фізичних та юридичних осіб, які прийняли участь в обговорені проєкту рішення.</w:t>
            </w:r>
          </w:p>
          <w:p w:rsidR="00147494" w:rsidRPr="00147494" w:rsidRDefault="00147494" w:rsidP="00147494">
            <w:pPr>
              <w:tabs>
                <w:tab w:val="left" w:pos="709"/>
                <w:tab w:val="left" w:pos="2085"/>
              </w:tabs>
              <w:contextualSpacing/>
              <w:jc w:val="both"/>
              <w:rPr>
                <w:rFonts w:ascii="Times New Roman" w:eastAsia="Calibri" w:hAnsi="Times New Roman" w:cs="Times New Roman"/>
                <w:color w:val="00B050"/>
              </w:rPr>
            </w:pPr>
            <w:r w:rsidRPr="00147494">
              <w:rPr>
                <w:rFonts w:ascii="Times New Roman" w:eastAsia="Calibri" w:hAnsi="Times New Roman" w:cs="Times New Roman"/>
                <w:sz w:val="26"/>
                <w:szCs w:val="26"/>
                <w:lang w:val="uk-UA"/>
              </w:rPr>
              <w:t>Дозволяє наповнювати місцевий бюджет (</w:t>
            </w:r>
            <w:r w:rsidRPr="00147494">
              <w:rPr>
                <w:rFonts w:ascii="Calibri" w:eastAsia="Calibri" w:hAnsi="Calibri" w:cs="Times New Roman"/>
                <w:sz w:val="26"/>
                <w:szCs w:val="26"/>
                <w:lang w:val="uk-UA"/>
              </w:rPr>
              <w:t xml:space="preserve">16 269,8 </w:t>
            </w:r>
            <w:r w:rsidRPr="00147494">
              <w:rPr>
                <w:rFonts w:ascii="Times New Roman" w:eastAsia="Calibri" w:hAnsi="Times New Roman" w:cs="Times New Roman"/>
                <w:sz w:val="26"/>
                <w:szCs w:val="26"/>
                <w:lang w:val="uk-UA"/>
              </w:rPr>
              <w:t>тис. грн).</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 пов’язані з публікацією об’яви щодо громадського обговорення проєкту та надання пропозицій.</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Альтернатива 3</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максимальних ставок</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sz w:val="26"/>
                <w:szCs w:val="26"/>
                <w:lang w:val="uk-UA"/>
              </w:rPr>
            </w:pPr>
            <w:r w:rsidRPr="00147494">
              <w:rPr>
                <w:sz w:val="26"/>
                <w:szCs w:val="26"/>
                <w:lang w:val="uk-UA"/>
              </w:rPr>
              <w:t>Забезпечить максимальне надходження до бюджету ТГ, що дасть змогу реалізувати більше проєктів, в тому числі соціальних.</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 пов’язані з публікацією об’яви щодо громадського обговорення проєкту та надання пропозицій.</w:t>
            </w:r>
          </w:p>
        </w:tc>
      </w:tr>
    </w:tbl>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8"/>
          <w:szCs w:val="28"/>
          <w:lang w:val="uk-UA"/>
        </w:rPr>
      </w:pP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b/>
          <w:sz w:val="24"/>
          <w:szCs w:val="24"/>
          <w:lang w:val="uk-UA"/>
        </w:rPr>
      </w:pPr>
      <w:r w:rsidRPr="00147494">
        <w:rPr>
          <w:rFonts w:ascii="Times New Roman" w:eastAsia="Calibri" w:hAnsi="Times New Roman" w:cs="Times New Roman"/>
          <w:b/>
          <w:sz w:val="24"/>
          <w:szCs w:val="24"/>
          <w:lang w:val="uk-UA"/>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536"/>
        <w:gridCol w:w="2800"/>
      </w:tblGrid>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Вид альтернативи</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Вигоди</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Альтернатива 1 </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мінімальних ставок</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Відсутні.</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 у частині сплати за землю у сумі 683,1 тис. грн</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2</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ставок податків згідно проєкту рішення</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Будуть виконані заходи передбачені Програми соціально-економічного та культурного розвитку території  Мостівської сільської ради на 2021 - 2024 роки. </w:t>
            </w:r>
          </w:p>
        </w:tc>
        <w:tc>
          <w:tcPr>
            <w:tcW w:w="280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Затрати часу, необхідні для вивчення положень про місцеві податки та збори та обговорення проєкту рішення. Сплата податків за запропонованими ставками.</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Альтернатива 3</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максимальних ставок</w:t>
            </w:r>
          </w:p>
        </w:tc>
        <w:tc>
          <w:tcPr>
            <w:tcW w:w="453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Буде надано більше послуг, збудовано та відремонтовано доріг, будуть надані більш якісні послуги щодо благоустрою громади.</w:t>
            </w:r>
          </w:p>
        </w:tc>
        <w:tc>
          <w:tcPr>
            <w:tcW w:w="2800"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Платники не будуть мати змоги вчасно сплатити податки, що призведе до нарахування пені та застосування штрафних санкцій.</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p>
        </w:tc>
      </w:tr>
    </w:tbl>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8"/>
          <w:szCs w:val="28"/>
          <w:lang w:val="uk-UA"/>
        </w:rPr>
      </w:pP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b/>
          <w:sz w:val="24"/>
          <w:szCs w:val="24"/>
          <w:lang w:val="uk-UA"/>
        </w:rPr>
      </w:pPr>
      <w:r w:rsidRPr="00147494">
        <w:rPr>
          <w:rFonts w:ascii="Times New Roman" w:eastAsia="Calibri" w:hAnsi="Times New Roman" w:cs="Times New Roman"/>
          <w:b/>
          <w:sz w:val="24"/>
          <w:szCs w:val="24"/>
          <w:lang w:val="uk-UA"/>
        </w:rPr>
        <w:t>Оцінка впливу на сферу інтересів суб'єктів господарювання:</w:t>
      </w: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97"/>
        <w:gridCol w:w="1595"/>
        <w:gridCol w:w="1595"/>
        <w:gridCol w:w="1595"/>
        <w:gridCol w:w="1596"/>
      </w:tblGrid>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lastRenderedPageBreak/>
              <w:t>Показник</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Великі</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Середні</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Малі</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Мікро</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Всього</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3</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4</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5</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6</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Кількість суб'єктів платників єдиного податку І-ІІ групи, одиниць</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10</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50</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60</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Питома вага групи в загальній кількості, %</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16,67</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83,33</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100</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Кількість суб'єктів платників податку на нерухоме майно, відмінне від земельної ділянки, одиниць</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6</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19</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25</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Питома вага групи в загальній кількості, %</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sz w:val="26"/>
                <w:szCs w:val="26"/>
                <w:lang w:val="en-GB"/>
              </w:rPr>
            </w:pPr>
            <w:r w:rsidRPr="00147494">
              <w:rPr>
                <w:rFonts w:ascii="Times New Roman" w:eastAsia="Calibri" w:hAnsi="Times New Roman" w:cs="Times New Roman"/>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24</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76</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100</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Кількість суб'єктів платників земельного податку, одиниць</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noProof/>
                <w:sz w:val="26"/>
                <w:szCs w:val="26"/>
                <w:lang w:val="uk-UA"/>
              </w:rPr>
            </w:pPr>
            <w:r w:rsidRPr="00147494">
              <w:rPr>
                <w:rFonts w:ascii="Times New Roman" w:eastAsia="Calibri" w:hAnsi="Times New Roman" w:cs="Times New Roman"/>
                <w:b/>
                <w:noProof/>
                <w:sz w:val="26"/>
                <w:szCs w:val="26"/>
                <w:lang w:val="uk-UA"/>
              </w:rPr>
              <w:t>3</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noProof/>
                <w:sz w:val="26"/>
                <w:szCs w:val="26"/>
                <w:lang w:val="uk-UA"/>
              </w:rPr>
            </w:pPr>
            <w:r w:rsidRPr="00147494">
              <w:rPr>
                <w:rFonts w:ascii="Times New Roman" w:eastAsia="Calibri" w:hAnsi="Times New Roman" w:cs="Times New Roman"/>
                <w:b/>
                <w:noProof/>
                <w:sz w:val="26"/>
                <w:szCs w:val="26"/>
                <w:lang w:val="uk-UA"/>
              </w:rPr>
              <w:t>95</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noProof/>
                <w:sz w:val="26"/>
                <w:szCs w:val="26"/>
                <w:lang w:val="uk-UA"/>
              </w:rPr>
            </w:pPr>
            <w:r w:rsidRPr="00147494">
              <w:rPr>
                <w:rFonts w:ascii="Times New Roman" w:eastAsia="Calibri" w:hAnsi="Times New Roman" w:cs="Times New Roman"/>
                <w:b/>
                <w:noProof/>
                <w:sz w:val="26"/>
                <w:szCs w:val="26"/>
                <w:lang w:val="uk-UA"/>
              </w:rPr>
              <w:t>98</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Питома вага групи в загальній кількості, %</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3,07</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96,93</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noProof/>
                <w:sz w:val="26"/>
                <w:szCs w:val="26"/>
                <w:lang w:val="uk-UA"/>
              </w:rPr>
            </w:pPr>
            <w:r w:rsidRPr="00147494">
              <w:rPr>
                <w:rFonts w:ascii="Times New Roman" w:eastAsia="Calibri" w:hAnsi="Times New Roman" w:cs="Times New Roman"/>
                <w:noProof/>
                <w:sz w:val="26"/>
                <w:szCs w:val="26"/>
                <w:lang w:val="uk-UA"/>
              </w:rPr>
              <w:t>100</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Всього</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19</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164</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189</w:t>
            </w:r>
          </w:p>
        </w:tc>
      </w:tr>
      <w:tr w:rsidR="00147494" w:rsidRPr="00147494" w:rsidTr="00147494">
        <w:tc>
          <w:tcPr>
            <w:tcW w:w="209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Питома вага групи в загальній кількості, %</w:t>
            </w:r>
          </w:p>
        </w:tc>
        <w:tc>
          <w:tcPr>
            <w:tcW w:w="109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10,05</w:t>
            </w:r>
          </w:p>
        </w:tc>
        <w:tc>
          <w:tcPr>
            <w:tcW w:w="159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86,77</w:t>
            </w:r>
          </w:p>
        </w:tc>
        <w:tc>
          <w:tcPr>
            <w:tcW w:w="159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100</w:t>
            </w:r>
          </w:p>
        </w:tc>
      </w:tr>
    </w:tbl>
    <w:p w:rsidR="00147494" w:rsidRPr="00147494" w:rsidRDefault="00147494" w:rsidP="00147494">
      <w:pPr>
        <w:jc w:val="both"/>
        <w:rPr>
          <w:rFonts w:ascii="Times New Roman" w:eastAsia="Times New Roman" w:hAnsi="Times New Roman" w:cs="Times New Roman"/>
          <w:b/>
          <w:sz w:val="24"/>
          <w:szCs w:val="24"/>
          <w:lang w:val="uk-UA" w:eastAsia="ru-RU"/>
        </w:rPr>
      </w:pPr>
    </w:p>
    <w:p w:rsidR="00147494" w:rsidRPr="00147494" w:rsidRDefault="00147494" w:rsidP="00147494">
      <w:pPr>
        <w:ind w:right="-5" w:firstLine="709"/>
        <w:jc w:val="both"/>
        <w:rPr>
          <w:rFonts w:ascii="Times New Roman" w:eastAsia="Times New Roman" w:hAnsi="Times New Roman" w:cs="Times New Roman"/>
          <w:b/>
          <w:i/>
          <w:iCs/>
          <w:sz w:val="24"/>
          <w:szCs w:val="24"/>
          <w:lang w:val="uk-UA" w:eastAsia="ru-RU"/>
        </w:rPr>
      </w:pPr>
      <w:r w:rsidRPr="00147494">
        <w:rPr>
          <w:rFonts w:ascii="Times New Roman" w:eastAsia="Times New Roman" w:hAnsi="Times New Roman" w:cs="Times New Roman"/>
          <w:b/>
          <w:sz w:val="24"/>
          <w:szCs w:val="24"/>
          <w:lang w:val="uk-UA" w:eastAsia="ru-RU"/>
        </w:rPr>
        <w:t>*</w:t>
      </w:r>
      <w:r w:rsidRPr="00147494">
        <w:rPr>
          <w:rFonts w:ascii="Times New Roman" w:eastAsia="Times New Roman" w:hAnsi="Times New Roman" w:cs="Times New Roman"/>
          <w:i/>
          <w:sz w:val="24"/>
          <w:szCs w:val="24"/>
          <w:lang w:val="uk-UA" w:eastAsia="ru-RU"/>
        </w:rPr>
        <w:t xml:space="preserve"> </w:t>
      </w:r>
      <w:r w:rsidRPr="00147494">
        <w:rPr>
          <w:rFonts w:ascii="Times New Roman" w:eastAsia="Times New Roman" w:hAnsi="Times New Roman" w:cs="Times New Roman"/>
          <w:i/>
          <w:sz w:val="24"/>
          <w:szCs w:val="24"/>
          <w:lang w:eastAsia="ru-RU"/>
        </w:rPr>
        <w:t xml:space="preserve">За даними </w:t>
      </w:r>
      <w:r w:rsidRPr="00147494">
        <w:rPr>
          <w:rFonts w:ascii="Times New Roman" w:eastAsia="Times New Roman" w:hAnsi="Times New Roman" w:cs="Times New Roman"/>
          <w:i/>
          <w:iCs/>
          <w:sz w:val="24"/>
          <w:szCs w:val="24"/>
          <w:shd w:val="clear" w:color="auto" w:fill="FFFFFF"/>
          <w:lang w:val="uk-UA" w:eastAsia="ru-RU"/>
        </w:rPr>
        <w:t xml:space="preserve">Доманівська ДПІ Южноукраїнського управління ГУ ДПС у Миколаївській області </w:t>
      </w:r>
      <w:r w:rsidRPr="00147494">
        <w:rPr>
          <w:rFonts w:ascii="Times New Roman" w:eastAsia="Times New Roman" w:hAnsi="Times New Roman" w:cs="Times New Roman"/>
          <w:i/>
          <w:sz w:val="24"/>
          <w:szCs w:val="24"/>
          <w:lang w:eastAsia="ru-RU"/>
        </w:rPr>
        <w:t>на 01.01.2021 року</w:t>
      </w:r>
      <w:r w:rsidRPr="00147494">
        <w:rPr>
          <w:rFonts w:ascii="Times New Roman" w:eastAsia="Times New Roman" w:hAnsi="Times New Roman" w:cs="Times New Roman"/>
          <w:i/>
          <w:sz w:val="24"/>
          <w:szCs w:val="24"/>
          <w:lang w:val="uk-UA" w:eastAsia="ru-RU"/>
        </w:rPr>
        <w:t>.</w:t>
      </w:r>
    </w:p>
    <w:p w:rsidR="00147494" w:rsidRPr="00147494" w:rsidRDefault="00147494" w:rsidP="00147494">
      <w:pPr>
        <w:jc w:val="both"/>
        <w:rPr>
          <w:rFonts w:ascii="Times New Roman" w:eastAsia="Times New Roman" w:hAnsi="Times New Roman" w:cs="Times New Roman"/>
          <w:i/>
          <w:sz w:val="24"/>
          <w:szCs w:val="24"/>
          <w:lang w:val="uk-UA" w:eastAsia="ru-RU"/>
        </w:rPr>
      </w:pPr>
    </w:p>
    <w:p w:rsidR="00147494" w:rsidRPr="00147494" w:rsidRDefault="00147494" w:rsidP="00147494">
      <w:pPr>
        <w:jc w:val="both"/>
        <w:rPr>
          <w:rFonts w:ascii="Times New Roman" w:eastAsia="Times New Roman" w:hAnsi="Times New Roman" w:cs="Times New Roman"/>
          <w:i/>
          <w:sz w:val="24"/>
          <w:szCs w:val="24"/>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45"/>
        <w:gridCol w:w="3191"/>
      </w:tblGrid>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Вид альтернативи</w:t>
            </w:r>
          </w:p>
        </w:tc>
        <w:tc>
          <w:tcPr>
            <w:tcW w:w="414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Вигоди</w:t>
            </w:r>
          </w:p>
        </w:tc>
        <w:tc>
          <w:tcPr>
            <w:tcW w:w="319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w:t>
            </w:r>
          </w:p>
        </w:tc>
      </w:tr>
      <w:tr w:rsidR="00147494" w:rsidRPr="00147494" w:rsidTr="00147494">
        <w:trPr>
          <w:trHeight w:val="309"/>
        </w:trPr>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w:t>
            </w:r>
          </w:p>
        </w:tc>
        <w:tc>
          <w:tcPr>
            <w:tcW w:w="414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w:t>
            </w:r>
          </w:p>
        </w:tc>
        <w:tc>
          <w:tcPr>
            <w:tcW w:w="319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3</w:t>
            </w:r>
          </w:p>
        </w:tc>
      </w:tr>
      <w:tr w:rsidR="00147494" w:rsidRPr="00147494" w:rsidTr="00147494">
        <w:trPr>
          <w:trHeight w:val="1657"/>
        </w:trPr>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 xml:space="preserve">Альтернатива 1 </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мінімальних ставок</w:t>
            </w:r>
          </w:p>
        </w:tc>
        <w:tc>
          <w:tcPr>
            <w:tcW w:w="414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Суб'єкти господарювання у 2022 році будуть сплачувати податок на нерухоме майно, відмінне від земельної ділянки, плату за землю та єдиний податок на 683,1 тис. грн менше.</w:t>
            </w:r>
          </w:p>
        </w:tc>
        <w:tc>
          <w:tcPr>
            <w:tcW w:w="319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Відсутні.  </w:t>
            </w:r>
          </w:p>
        </w:tc>
      </w:tr>
      <w:tr w:rsidR="00147494" w:rsidRPr="00147494" w:rsidTr="00147494">
        <w:trPr>
          <w:trHeight w:val="1048"/>
        </w:trPr>
        <w:tc>
          <w:tcPr>
            <w:tcW w:w="2235"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2</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ставок податків згідно проєкту рішення</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p>
        </w:tc>
        <w:tc>
          <w:tcPr>
            <w:tcW w:w="4145"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sz w:val="26"/>
                <w:szCs w:val="26"/>
                <w:lang w:val="uk-UA"/>
              </w:rPr>
            </w:pPr>
            <w:r w:rsidRPr="00147494">
              <w:rPr>
                <w:sz w:val="26"/>
                <w:szCs w:val="26"/>
                <w:lang w:val="uk-UA"/>
              </w:rPr>
              <w:t>Забезпечує досягнення цілей державного регулювання.</w:t>
            </w:r>
          </w:p>
          <w:p w:rsidR="00147494" w:rsidRPr="00147494" w:rsidRDefault="00147494" w:rsidP="00147494">
            <w:pPr>
              <w:jc w:val="both"/>
              <w:rPr>
                <w:sz w:val="26"/>
                <w:szCs w:val="26"/>
                <w:lang w:val="uk-UA"/>
              </w:rPr>
            </w:pPr>
            <w:r w:rsidRPr="00147494">
              <w:rPr>
                <w:sz w:val="26"/>
                <w:szCs w:val="26"/>
                <w:lang w:val="uk-UA"/>
              </w:rPr>
              <w:t>Враховує пропозиції фізичних та юридичних осіб, які прийняли участь в обговорені проєкту рішення.</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Дозволяє наповнювати місцевий бюджет власними надходженнями.</w:t>
            </w:r>
          </w:p>
          <w:p w:rsidR="00147494" w:rsidRPr="00147494" w:rsidRDefault="00147494" w:rsidP="00147494">
            <w:pPr>
              <w:tabs>
                <w:tab w:val="left" w:pos="709"/>
                <w:tab w:val="left" w:pos="2085"/>
              </w:tabs>
              <w:contextualSpacing/>
              <w:jc w:val="both"/>
              <w:rPr>
                <w:rFonts w:ascii="Calibri" w:eastAsia="Calibri" w:hAnsi="Calibri" w:cs="Times New Roman"/>
              </w:rPr>
            </w:pPr>
          </w:p>
        </w:tc>
        <w:tc>
          <w:tcPr>
            <w:tcW w:w="319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Суб'єкти господарювання будуть сплачувати податки згідно рішення сільської ради за запропонованими ставками, що забезпечить щорічний ріст на 683,1 тис. грн</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rPr>
            </w:pPr>
            <w:r w:rsidRPr="00147494">
              <w:rPr>
                <w:rFonts w:ascii="Times New Roman" w:eastAsia="Calibri" w:hAnsi="Times New Roman" w:cs="Times New Roman"/>
                <w:sz w:val="26"/>
                <w:szCs w:val="26"/>
              </w:rPr>
              <w:t xml:space="preserve">Затрати часу, необхідні для ознайомлення з </w:t>
            </w:r>
            <w:proofErr w:type="gramStart"/>
            <w:r w:rsidRPr="00147494">
              <w:rPr>
                <w:rFonts w:ascii="Times New Roman" w:eastAsia="Calibri" w:hAnsi="Times New Roman" w:cs="Times New Roman"/>
                <w:sz w:val="26"/>
                <w:szCs w:val="26"/>
              </w:rPr>
              <w:t>р</w:t>
            </w:r>
            <w:proofErr w:type="gramEnd"/>
            <w:r w:rsidRPr="00147494">
              <w:rPr>
                <w:rFonts w:ascii="Times New Roman" w:eastAsia="Calibri" w:hAnsi="Times New Roman" w:cs="Times New Roman"/>
                <w:sz w:val="26"/>
                <w:szCs w:val="26"/>
              </w:rPr>
              <w:t>ішенням про місцеві податки і збори.</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Альтернатива 3</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максимальних ставок</w:t>
            </w:r>
          </w:p>
        </w:tc>
        <w:tc>
          <w:tcPr>
            <w:tcW w:w="414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Відсутні.</w:t>
            </w:r>
          </w:p>
        </w:tc>
        <w:tc>
          <w:tcPr>
            <w:tcW w:w="319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Суб'єкти господарювання будуть сплачувати максимальні ставки, що призведе до соціальної напруги та, можливо, до зменшення їх кількості.</w:t>
            </w:r>
          </w:p>
        </w:tc>
      </w:tr>
    </w:tbl>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bCs/>
          <w:sz w:val="26"/>
          <w:szCs w:val="26"/>
          <w:lang w:val="uk-UA"/>
        </w:rPr>
      </w:pP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bCs/>
          <w:sz w:val="26"/>
          <w:szCs w:val="26"/>
          <w:lang w:val="uk-UA"/>
        </w:rPr>
        <w:t>У зв’язку з відсутністю суб'єктів господарювання великого і середнього підприємництва, що підпадають під дію регуляторного акту, розрахунок витрат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 (Додаток 1 до АРВ) не розроблявся.</w:t>
      </w:r>
    </w:p>
    <w:p w:rsidR="00147494" w:rsidRPr="00147494" w:rsidRDefault="00147494" w:rsidP="00147494">
      <w:pPr>
        <w:shd w:val="clear" w:color="auto" w:fill="FFFFFF"/>
        <w:jc w:val="center"/>
        <w:rPr>
          <w:rFonts w:ascii="Times New Roman" w:eastAsia="Times New Roman" w:hAnsi="Times New Roman" w:cs="Times New Roman"/>
          <w:b/>
          <w:bCs/>
          <w:sz w:val="26"/>
          <w:szCs w:val="26"/>
          <w:lang w:val="uk-UA" w:eastAsia="ru-RU"/>
        </w:rPr>
      </w:pP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4. Вибір найбільш оптимального альтернативного способу досягнення цілей.</w:t>
      </w: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Вартість балів визначається за чотирибальною системою оцінки ступеня досягнення визначених цілей, де:</w:t>
      </w: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4- цілі прийняття регуляторного акта, які можуть бути досягнуті повною мірою (проблема більше існувати не буде);</w:t>
      </w: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3- цілі прийняття регуляторного акта, які можуть бути досягнуті майже повною мірою (усі важливі аспекти проблеми існувати не будуть);</w:t>
      </w:r>
    </w:p>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147494" w:rsidRPr="00147494" w:rsidRDefault="00147494" w:rsidP="00147494">
      <w:pPr>
        <w:tabs>
          <w:tab w:val="left" w:pos="1418"/>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1-цілі прийняття регуляторного акта, які не можуть бути досягнуті (проблема продовжує існувати).</w:t>
      </w:r>
    </w:p>
    <w:p w:rsidR="00147494" w:rsidRPr="00147494" w:rsidRDefault="00147494" w:rsidP="00147494">
      <w:pPr>
        <w:tabs>
          <w:tab w:val="left" w:pos="1418"/>
        </w:tabs>
        <w:ind w:firstLine="709"/>
        <w:contextualSpacing/>
        <w:jc w:val="both"/>
        <w:rPr>
          <w:rFonts w:ascii="Times New Roman" w:eastAsia="Calibri" w:hAnsi="Times New Roman" w:cs="Times New Roman"/>
          <w:sz w:val="26"/>
          <w:szCs w:val="26"/>
          <w:lang w:val="uk-UA"/>
        </w:rPr>
      </w:pPr>
    </w:p>
    <w:p w:rsidR="00147494" w:rsidRPr="00147494" w:rsidRDefault="00147494" w:rsidP="00147494">
      <w:pPr>
        <w:tabs>
          <w:tab w:val="left" w:pos="1418"/>
        </w:tabs>
        <w:ind w:firstLine="709"/>
        <w:contextualSpacing/>
        <w:jc w:val="both"/>
        <w:rPr>
          <w:rFonts w:ascii="Times New Roman" w:eastAsia="Calibri" w:hAnsi="Times New Roman" w:cs="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2257"/>
        <w:gridCol w:w="5057"/>
      </w:tblGrid>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Рейтинг результативності </w:t>
            </w:r>
            <w:r w:rsidRPr="00147494">
              <w:rPr>
                <w:rFonts w:ascii="Times New Roman" w:eastAsia="Calibri" w:hAnsi="Times New Roman" w:cs="Times New Roman"/>
                <w:sz w:val="26"/>
                <w:szCs w:val="26"/>
                <w:lang w:val="uk-UA"/>
              </w:rPr>
              <w:lastRenderedPageBreak/>
              <w:t>(досягнення цілей під час вирішення проблеми)</w:t>
            </w:r>
          </w:p>
        </w:tc>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 xml:space="preserve">Бал результативності </w:t>
            </w:r>
            <w:r w:rsidRPr="00147494">
              <w:rPr>
                <w:rFonts w:ascii="Times New Roman" w:eastAsia="Calibri" w:hAnsi="Times New Roman" w:cs="Times New Roman"/>
                <w:sz w:val="26"/>
                <w:szCs w:val="26"/>
                <w:lang w:val="uk-UA"/>
              </w:rPr>
              <w:lastRenderedPageBreak/>
              <w:t>(за чотирибальною системою оцінки)</w:t>
            </w:r>
          </w:p>
        </w:tc>
        <w:tc>
          <w:tcPr>
            <w:tcW w:w="521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Коментарі щодо присвоєння відповідного бала</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1</w:t>
            </w:r>
          </w:p>
        </w:tc>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w:t>
            </w:r>
          </w:p>
        </w:tc>
        <w:tc>
          <w:tcPr>
            <w:tcW w:w="521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3</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Альтернатива 1 </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мінімальних ставок</w:t>
            </w:r>
          </w:p>
        </w:tc>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w:t>
            </w:r>
          </w:p>
        </w:tc>
        <w:tc>
          <w:tcPr>
            <w:tcW w:w="521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Не вирішує проблеми.</w:t>
            </w:r>
            <w:r w:rsidRPr="00147494">
              <w:rPr>
                <w:rFonts w:ascii="Calibri" w:eastAsia="Calibri" w:hAnsi="Calibri" w:cs="Times New Roman"/>
                <w:sz w:val="26"/>
                <w:szCs w:val="26"/>
                <w:lang w:val="uk-UA"/>
              </w:rPr>
              <w:t xml:space="preserve"> </w:t>
            </w:r>
            <w:r w:rsidRPr="00147494">
              <w:rPr>
                <w:rFonts w:ascii="Times New Roman" w:eastAsia="Calibri" w:hAnsi="Times New Roman" w:cs="Times New Roman"/>
                <w:sz w:val="26"/>
                <w:szCs w:val="26"/>
                <w:lang w:val="uk-UA"/>
              </w:rPr>
              <w:t>Наслідком є недоотримання надходжень до бюджету коштів на прогнозному рівні 43,1 тис. грн по податку на нерухоме майно, відмінне від земельної ділянки, 500,0 тис. грн по земельному податку 140,0 тис. грн по єдиному податку (беремо до уваги лише платників 1 та 2 групи, по яких проєктом встановлюються ставки)</w:t>
            </w:r>
            <w:r w:rsidRPr="00147494">
              <w:rPr>
                <w:rFonts w:ascii="Times New Roman" w:eastAsia="Calibri" w:hAnsi="Times New Roman" w:cs="Times New Roman"/>
                <w:sz w:val="26"/>
                <w:szCs w:val="26"/>
                <w:lang w:val="uk-UA" w:eastAsia="ru-RU"/>
              </w:rPr>
              <w:t>, що призведе до втрати громадянами соціальних виплат та пільг.</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2</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ставок податків згідно проєкту рішення</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p>
        </w:tc>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3</w:t>
            </w:r>
          </w:p>
        </w:tc>
        <w:tc>
          <w:tcPr>
            <w:tcW w:w="521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 зокрема буде досягнуто баланс інтересів громади та платників податків.</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3</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максимальних ставок</w:t>
            </w:r>
          </w:p>
        </w:tc>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w:t>
            </w:r>
          </w:p>
        </w:tc>
        <w:tc>
          <w:tcPr>
            <w:tcW w:w="521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Надмірне податкове навантаження на суб’єктів господарювання знівелює вигоди від збільшення дохідної частини бюджету, а саме може призвести до занепаду малого бізнесу.</w:t>
            </w:r>
          </w:p>
        </w:tc>
      </w:tr>
    </w:tbl>
    <w:p w:rsidR="00147494" w:rsidRPr="00147494" w:rsidRDefault="00147494" w:rsidP="00147494">
      <w:pPr>
        <w:tabs>
          <w:tab w:val="left" w:pos="709"/>
          <w:tab w:val="left" w:pos="2085"/>
        </w:tabs>
        <w:ind w:firstLine="709"/>
        <w:contextualSpacing/>
        <w:jc w:val="center"/>
        <w:rPr>
          <w:rFonts w:ascii="Times New Roman" w:eastAsia="Calibri" w:hAnsi="Times New Roman" w:cs="Times New Roman"/>
          <w:b/>
          <w:sz w:val="26"/>
          <w:szCs w:val="26"/>
          <w:lang w:val="uk-UA"/>
        </w:rPr>
      </w:pPr>
    </w:p>
    <w:p w:rsidR="00147494" w:rsidRPr="00147494" w:rsidRDefault="00147494" w:rsidP="00147494">
      <w:pPr>
        <w:tabs>
          <w:tab w:val="left" w:pos="709"/>
          <w:tab w:val="left" w:pos="2085"/>
        </w:tabs>
        <w:ind w:firstLine="709"/>
        <w:contextualSpacing/>
        <w:jc w:val="center"/>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Рейтинг результативності досягнення цілей.</w:t>
      </w:r>
    </w:p>
    <w:p w:rsidR="00147494" w:rsidRPr="00147494" w:rsidRDefault="00147494" w:rsidP="00147494">
      <w:pPr>
        <w:tabs>
          <w:tab w:val="left" w:pos="709"/>
          <w:tab w:val="left" w:pos="2085"/>
        </w:tabs>
        <w:ind w:firstLine="709"/>
        <w:contextualSpacing/>
        <w:jc w:val="center"/>
        <w:rPr>
          <w:rFonts w:ascii="Times New Roman" w:eastAsia="Calibri" w:hAnsi="Times New Roman" w:cs="Times New Roman"/>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2227"/>
        <w:gridCol w:w="2453"/>
        <w:gridCol w:w="2652"/>
      </w:tblGrid>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sz w:val="26"/>
                <w:szCs w:val="26"/>
                <w:lang w:val="uk-UA"/>
              </w:rPr>
              <w:t>Рейтинг результативності</w:t>
            </w:r>
          </w:p>
        </w:tc>
        <w:tc>
          <w:tcPr>
            <w:tcW w:w="226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Вигоди (підсумок)</w:t>
            </w:r>
          </w:p>
        </w:tc>
        <w:tc>
          <w:tcPr>
            <w:tcW w:w="25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Витрати (підсумок) </w:t>
            </w:r>
          </w:p>
        </w:tc>
        <w:tc>
          <w:tcPr>
            <w:tcW w:w="278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Обґрунтування відповідного місця альтернативи у рейтингу</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1</w:t>
            </w:r>
          </w:p>
        </w:tc>
        <w:tc>
          <w:tcPr>
            <w:tcW w:w="226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2</w:t>
            </w:r>
          </w:p>
        </w:tc>
        <w:tc>
          <w:tcPr>
            <w:tcW w:w="25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3</w:t>
            </w:r>
          </w:p>
        </w:tc>
        <w:tc>
          <w:tcPr>
            <w:tcW w:w="278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4</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2</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ставок податків згідно проєкту рішення</w:t>
            </w:r>
          </w:p>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p>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p>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p>
        </w:tc>
        <w:tc>
          <w:tcPr>
            <w:tcW w:w="226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eastAsia="ru-RU"/>
              </w:rPr>
            </w:pPr>
            <w:r w:rsidRPr="00147494">
              <w:rPr>
                <w:rFonts w:ascii="Times New Roman" w:eastAsia="Calibri" w:hAnsi="Times New Roman" w:cs="Times New Roman"/>
                <w:sz w:val="26"/>
                <w:szCs w:val="26"/>
                <w:lang w:val="uk-UA"/>
              </w:rPr>
              <w:t>Вирішує проблему.</w:t>
            </w:r>
            <w:r w:rsidRPr="00147494">
              <w:rPr>
                <w:rFonts w:ascii="Times New Roman" w:eastAsia="Calibri" w:hAnsi="Times New Roman" w:cs="Times New Roman"/>
                <w:sz w:val="26"/>
                <w:szCs w:val="26"/>
                <w:lang w:val="uk-UA" w:eastAsia="ru-RU"/>
              </w:rPr>
              <w:t xml:space="preserve"> </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eastAsia="ru-RU"/>
              </w:rPr>
            </w:pPr>
            <w:r w:rsidRPr="00147494">
              <w:rPr>
                <w:rFonts w:ascii="Times New Roman" w:eastAsia="Calibri" w:hAnsi="Times New Roman" w:cs="Times New Roman"/>
                <w:sz w:val="26"/>
                <w:szCs w:val="26"/>
                <w:lang w:val="uk-UA" w:eastAsia="ru-RU"/>
              </w:rPr>
              <w:t>Сплата податків за обгрунтованими ставками.</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Надходження наповнення в повному обсязі місцевого бюджету, спрямування </w:t>
            </w:r>
            <w:r w:rsidRPr="00147494">
              <w:rPr>
                <w:rFonts w:ascii="Times New Roman" w:eastAsia="Calibri" w:hAnsi="Times New Roman" w:cs="Times New Roman"/>
                <w:sz w:val="26"/>
                <w:szCs w:val="26"/>
                <w:lang w:val="uk-UA"/>
              </w:rPr>
              <w:lastRenderedPageBreak/>
              <w:t>коштів на соціально-економічний розвиток громади. Встановлення пільг  для  окремих категорій населення.</w:t>
            </w:r>
          </w:p>
        </w:tc>
        <w:tc>
          <w:tcPr>
            <w:tcW w:w="25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Громадяни та суб'єкти господарювання будуть сплачувати податки за ставками згідно рішення сільської ради.</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Сумарні витрати становитимуть 683,1 тис. грн</w:t>
            </w:r>
          </w:p>
        </w:tc>
        <w:tc>
          <w:tcPr>
            <w:tcW w:w="278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w:t>
            </w:r>
          </w:p>
          <w:p w:rsidR="00147494" w:rsidRPr="00147494" w:rsidRDefault="00147494" w:rsidP="00147494">
            <w:pPr>
              <w:tabs>
                <w:tab w:val="left" w:pos="709"/>
                <w:tab w:val="left" w:pos="2085"/>
              </w:tabs>
              <w:contextualSpacing/>
              <w:jc w:val="both"/>
              <w:rPr>
                <w:rFonts w:ascii="Calibri" w:eastAsia="Calibri" w:hAnsi="Calibri" w:cs="Times New Roman"/>
              </w:rPr>
            </w:pPr>
            <w:r w:rsidRPr="00147494">
              <w:rPr>
                <w:rFonts w:ascii="Times New Roman" w:eastAsia="Calibri" w:hAnsi="Times New Roman" w:cs="Times New Roman"/>
                <w:sz w:val="26"/>
                <w:szCs w:val="26"/>
                <w:lang w:val="uk-UA"/>
              </w:rPr>
              <w:t xml:space="preserve">забезпечить </w:t>
            </w:r>
            <w:r w:rsidRPr="00147494">
              <w:rPr>
                <w:rFonts w:ascii="Times New Roman" w:eastAsia="Calibri" w:hAnsi="Times New Roman" w:cs="Times New Roman"/>
                <w:sz w:val="26"/>
                <w:szCs w:val="26"/>
                <w:lang w:val="uk-UA"/>
              </w:rPr>
              <w:lastRenderedPageBreak/>
              <w:t>поступове досягнення встановлених цілей.</w:t>
            </w:r>
          </w:p>
          <w:p w:rsidR="00147494" w:rsidRPr="00147494" w:rsidRDefault="00147494" w:rsidP="00147494">
            <w:pPr>
              <w:tabs>
                <w:tab w:val="left" w:pos="709"/>
                <w:tab w:val="left" w:pos="2085"/>
              </w:tabs>
              <w:contextualSpacing/>
              <w:jc w:val="both"/>
              <w:rPr>
                <w:rFonts w:ascii="Calibri" w:eastAsia="Calibri" w:hAnsi="Calibri" w:cs="Times New Roman"/>
              </w:rPr>
            </w:pPr>
            <w:r w:rsidRPr="00147494">
              <w:rPr>
                <w:rFonts w:ascii="Times New Roman" w:eastAsia="Calibri" w:hAnsi="Times New Roman" w:cs="Times New Roman"/>
                <w:sz w:val="26"/>
                <w:szCs w:val="26"/>
                <w:lang w:val="uk-UA"/>
              </w:rPr>
              <w:t>Наповнення місцевого бюджету, збереження стабільного фінансового стану суб’єктів господарювання та забезпечення збереження робочих місць.</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 xml:space="preserve">Альтернатива 3 </w:t>
            </w:r>
            <w:r w:rsidRPr="00147494">
              <w:rPr>
                <w:rFonts w:ascii="Times New Roman" w:eastAsia="Calibri" w:hAnsi="Times New Roman" w:cs="Times New Roman"/>
                <w:i/>
                <w:sz w:val="26"/>
                <w:szCs w:val="26"/>
                <w:lang w:val="uk-UA"/>
              </w:rPr>
              <w:t>Встановлення максимальних ставок</w:t>
            </w:r>
          </w:p>
        </w:tc>
        <w:tc>
          <w:tcPr>
            <w:tcW w:w="226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Додаткові надходження до бюджету</w:t>
            </w:r>
          </w:p>
        </w:tc>
        <w:tc>
          <w:tcPr>
            <w:tcW w:w="25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Витрати пов’язані з публікацією об’яви щодо громадського обговорення проєкту та надання пропозицій. Надмірне податкове навантаження </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спричинить занепад малого бізнесу.</w:t>
            </w:r>
          </w:p>
        </w:tc>
        <w:tc>
          <w:tcPr>
            <w:tcW w:w="278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rPr>
                <w:rFonts w:ascii="Times New Roman" w:eastAsia="Calibri" w:hAnsi="Times New Roman" w:cs="Times New Roman"/>
                <w:sz w:val="26"/>
                <w:szCs w:val="26"/>
                <w:lang w:val="uk-UA" w:eastAsia="ru-RU"/>
              </w:rPr>
            </w:pPr>
            <w:r w:rsidRPr="00147494">
              <w:rPr>
                <w:rFonts w:ascii="Times New Roman" w:eastAsia="Calibri" w:hAnsi="Times New Roman" w:cs="Times New Roman"/>
                <w:sz w:val="26"/>
                <w:szCs w:val="26"/>
                <w:lang w:val="uk-UA"/>
              </w:rPr>
              <w:t>Не вирішує проблем по сплаті податків.</w:t>
            </w:r>
            <w:r w:rsidRPr="00147494">
              <w:rPr>
                <w:rFonts w:ascii="Times New Roman" w:eastAsia="Calibri" w:hAnsi="Times New Roman" w:cs="Times New Roman"/>
                <w:sz w:val="26"/>
                <w:szCs w:val="26"/>
                <w:lang w:val="uk-UA" w:eastAsia="ru-RU"/>
              </w:rPr>
              <w:t xml:space="preserve"> </w:t>
            </w:r>
          </w:p>
          <w:p w:rsidR="00147494" w:rsidRPr="00147494" w:rsidRDefault="00147494" w:rsidP="00147494">
            <w:pPr>
              <w:tabs>
                <w:tab w:val="left" w:pos="709"/>
                <w:tab w:val="left" w:pos="2085"/>
              </w:tabs>
              <w:contextualSpacing/>
              <w:jc w:val="both"/>
              <w:rPr>
                <w:rFonts w:ascii="Times New Roman" w:eastAsia="Calibri" w:hAnsi="Times New Roman" w:cs="Times New Roman"/>
                <w:b/>
                <w:sz w:val="26"/>
                <w:szCs w:val="26"/>
                <w:lang w:val="uk-UA"/>
              </w:rPr>
            </w:pPr>
            <w:r w:rsidRPr="00147494">
              <w:rPr>
                <w:rFonts w:ascii="Times New Roman" w:eastAsia="Calibri" w:hAnsi="Times New Roman" w:cs="Times New Roman"/>
                <w:sz w:val="26"/>
                <w:szCs w:val="26"/>
                <w:lang w:val="uk-UA" w:eastAsia="ru-RU"/>
              </w:rPr>
              <w:t>Підвищення соціальної напруги</w:t>
            </w:r>
          </w:p>
        </w:tc>
      </w:tr>
      <w:tr w:rsidR="00147494" w:rsidRPr="00147494" w:rsidTr="00147494">
        <w:tc>
          <w:tcPr>
            <w:tcW w:w="226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Альтернатива 1 </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мінімальних ставок</w:t>
            </w:r>
          </w:p>
        </w:tc>
        <w:tc>
          <w:tcPr>
            <w:tcW w:w="2266"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Відсутні</w:t>
            </w:r>
          </w:p>
        </w:tc>
        <w:tc>
          <w:tcPr>
            <w:tcW w:w="25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Витрати пов’язані з публікацією об’яви щодо громадського обговорення проєкту та надання пропозицій.</w:t>
            </w:r>
          </w:p>
        </w:tc>
        <w:tc>
          <w:tcPr>
            <w:tcW w:w="2783"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eastAsia="ru-RU"/>
              </w:rPr>
            </w:pPr>
            <w:r w:rsidRPr="00147494">
              <w:rPr>
                <w:rFonts w:ascii="Times New Roman" w:eastAsia="Calibri" w:hAnsi="Times New Roman" w:cs="Times New Roman"/>
                <w:sz w:val="26"/>
                <w:szCs w:val="26"/>
                <w:lang w:val="uk-UA"/>
              </w:rPr>
              <w:t>Останнє місце у рейтингу, так як не вирішує проблем по сплаті податків.</w:t>
            </w:r>
            <w:r w:rsidRPr="00147494">
              <w:rPr>
                <w:rFonts w:ascii="Times New Roman" w:eastAsia="Calibri" w:hAnsi="Times New Roman" w:cs="Times New Roman"/>
                <w:sz w:val="26"/>
                <w:szCs w:val="26"/>
                <w:lang w:val="uk-UA" w:eastAsia="ru-RU"/>
              </w:rPr>
              <w:t xml:space="preserve"> Зменшення надходжень до бюджету.</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eastAsia="ru-RU"/>
              </w:rPr>
              <w:t>Підвищення соціальної напруги.</w:t>
            </w:r>
          </w:p>
        </w:tc>
      </w:tr>
    </w:tbl>
    <w:p w:rsidR="00147494" w:rsidRPr="00147494" w:rsidRDefault="00147494" w:rsidP="00147494">
      <w:pPr>
        <w:tabs>
          <w:tab w:val="left" w:pos="709"/>
          <w:tab w:val="left" w:pos="2085"/>
        </w:tabs>
        <w:ind w:firstLine="709"/>
        <w:contextualSpacing/>
        <w:jc w:val="center"/>
        <w:rPr>
          <w:rFonts w:ascii="Times New Roman" w:eastAsia="Calibri" w:hAnsi="Times New Roman" w:cs="Times New Roman"/>
          <w:b/>
          <w:sz w:val="26"/>
          <w:szCs w:val="26"/>
          <w:lang w:val="uk-UA"/>
        </w:rPr>
      </w:pPr>
    </w:p>
    <w:p w:rsidR="00147494" w:rsidRPr="00147494" w:rsidRDefault="00147494" w:rsidP="00147494">
      <w:pPr>
        <w:tabs>
          <w:tab w:val="left" w:pos="709"/>
          <w:tab w:val="left" w:pos="2085"/>
        </w:tabs>
        <w:ind w:firstLine="709"/>
        <w:contextualSpacing/>
        <w:jc w:val="center"/>
        <w:rPr>
          <w:rFonts w:ascii="Times New Roman" w:eastAsia="Calibri" w:hAnsi="Times New Roman" w:cs="Times New Roman"/>
          <w:b/>
          <w:sz w:val="26"/>
          <w:szCs w:val="26"/>
          <w:lang w:val="uk-UA"/>
        </w:rPr>
      </w:pPr>
      <w:r w:rsidRPr="00147494">
        <w:rPr>
          <w:rFonts w:ascii="Times New Roman" w:eastAsia="Calibri" w:hAnsi="Times New Roman" w:cs="Times New Roman"/>
          <w:b/>
          <w:sz w:val="26"/>
          <w:szCs w:val="26"/>
          <w:lang w:val="uk-UA"/>
        </w:rPr>
        <w:t>Переваги обраної альтернативи</w:t>
      </w:r>
    </w:p>
    <w:p w:rsidR="00147494" w:rsidRPr="00147494" w:rsidRDefault="00147494" w:rsidP="00147494">
      <w:pPr>
        <w:tabs>
          <w:tab w:val="left" w:pos="709"/>
          <w:tab w:val="left" w:pos="2085"/>
        </w:tabs>
        <w:ind w:firstLine="709"/>
        <w:contextualSpacing/>
        <w:jc w:val="center"/>
        <w:rPr>
          <w:rFonts w:ascii="Times New Roman" w:eastAsia="Calibri" w:hAnsi="Times New Roman" w:cs="Times New Roman"/>
          <w:b/>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835"/>
      </w:tblGrid>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Рейтинг </w:t>
            </w:r>
          </w:p>
        </w:tc>
        <w:tc>
          <w:tcPr>
            <w:tcW w:w="481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Аргументи щодо переваги обраної альтернативи/причини відмови від альтернативи</w:t>
            </w:r>
          </w:p>
        </w:tc>
        <w:tc>
          <w:tcPr>
            <w:tcW w:w="28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Оцінка ризику зовнішніх чинників на дію запропонованого регуляторного акта</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2</w:t>
            </w:r>
          </w:p>
          <w:p w:rsidR="00147494" w:rsidRPr="00147494" w:rsidRDefault="00147494" w:rsidP="00147494">
            <w:pPr>
              <w:tabs>
                <w:tab w:val="left" w:pos="709"/>
                <w:tab w:val="left" w:pos="2085"/>
              </w:tabs>
              <w:contextualSpacing/>
              <w:jc w:val="both"/>
              <w:rPr>
                <w:rFonts w:ascii="Times New Roman" w:eastAsia="Calibri" w:hAnsi="Times New Roman" w:cs="Times New Roman"/>
                <w:i/>
                <w:sz w:val="26"/>
                <w:szCs w:val="26"/>
                <w:lang w:val="uk-UA"/>
              </w:rPr>
            </w:pPr>
            <w:r w:rsidRPr="00147494">
              <w:rPr>
                <w:rFonts w:ascii="Times New Roman" w:eastAsia="Calibri" w:hAnsi="Times New Roman" w:cs="Times New Roman"/>
                <w:i/>
                <w:sz w:val="26"/>
                <w:szCs w:val="26"/>
                <w:lang w:val="uk-UA"/>
              </w:rPr>
              <w:t>Встановлення ставок податків згідно проєкту рішення</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p>
        </w:tc>
        <w:tc>
          <w:tcPr>
            <w:tcW w:w="481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Альтернатива є  доцільною.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p w:rsidR="00147494" w:rsidRPr="00147494" w:rsidRDefault="00147494" w:rsidP="00147494">
            <w:pPr>
              <w:tabs>
                <w:tab w:val="left" w:pos="709"/>
                <w:tab w:val="left" w:pos="2085"/>
              </w:tabs>
              <w:contextualSpacing/>
              <w:jc w:val="both"/>
              <w:rPr>
                <w:rFonts w:ascii="Calibri" w:eastAsia="Calibri" w:hAnsi="Calibri" w:cs="Times New Roman"/>
                <w:lang w:val="uk-UA"/>
              </w:rPr>
            </w:pPr>
            <w:r w:rsidRPr="00147494">
              <w:rPr>
                <w:rFonts w:ascii="Times New Roman" w:eastAsia="Calibri" w:hAnsi="Times New Roman" w:cs="Times New Roman"/>
                <w:sz w:val="26"/>
                <w:szCs w:val="26"/>
                <w:lang w:val="uk-UA"/>
              </w:rPr>
              <w:lastRenderedPageBreak/>
              <w:t>Податкове навантаження  для платників  місцевих податків і зборів не буде надмірним. Прийняття даного рішення дасть можливість досягнути балансу інтересів  органу місцевого самоврядування та платників  місцевих податків і зборів.</w:t>
            </w:r>
          </w:p>
        </w:tc>
        <w:tc>
          <w:tcPr>
            <w:tcW w:w="28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center"/>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Зміни до Податкового кодексу України, Бюджетного кодексу України та інших законодавчих актів.</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lastRenderedPageBreak/>
              <w:t>Альтернатива 3</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максимальних ставок</w:t>
            </w:r>
          </w:p>
        </w:tc>
        <w:tc>
          <w:tcPr>
            <w:tcW w:w="481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Дана альтернатива є неприйнятною. Цілі прийняття регуляторного акта можуть бути досягнуті частково. Надмірне податкове навантаження на суб’єктів господарювання знівелює вигоди від збільшення дохідної частини бюджету, а саме може призвести до занепаду малого бізнесу.</w:t>
            </w:r>
          </w:p>
        </w:tc>
        <w:tc>
          <w:tcPr>
            <w:tcW w:w="28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Нові зміни у законодавстві.</w:t>
            </w:r>
          </w:p>
        </w:tc>
      </w:tr>
      <w:tr w:rsidR="00147494" w:rsidRPr="00147494" w:rsidTr="00147494">
        <w:tc>
          <w:tcPr>
            <w:tcW w:w="22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Альтернатива 1 </w:t>
            </w:r>
          </w:p>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i/>
                <w:sz w:val="26"/>
                <w:szCs w:val="26"/>
                <w:lang w:val="uk-UA"/>
              </w:rPr>
              <w:t>Встановлення мінімальних ставок</w:t>
            </w:r>
          </w:p>
        </w:tc>
        <w:tc>
          <w:tcPr>
            <w:tcW w:w="481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Дана альтернатива є не прийнятною. Недостатнє наповнення бюджету ТГ. Неповна  реалізація Стратегії сталого розвитку   Мостівської об’єднаної територіальної громади Миколаївської області на  2018 – 2026 роки</w:t>
            </w:r>
          </w:p>
        </w:tc>
        <w:tc>
          <w:tcPr>
            <w:tcW w:w="283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709"/>
                <w:tab w:val="left" w:pos="2085"/>
              </w:tabs>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Нові зміни у законодавстві.</w:t>
            </w:r>
          </w:p>
        </w:tc>
      </w:tr>
    </w:tbl>
    <w:p w:rsidR="00147494" w:rsidRPr="00147494" w:rsidRDefault="00147494" w:rsidP="00147494">
      <w:pPr>
        <w:tabs>
          <w:tab w:val="left" w:pos="709"/>
          <w:tab w:val="left" w:pos="2085"/>
        </w:tabs>
        <w:ind w:firstLine="709"/>
        <w:contextualSpacing/>
        <w:jc w:val="both"/>
        <w:rPr>
          <w:rFonts w:ascii="Times New Roman" w:eastAsia="Calibri" w:hAnsi="Times New Roman" w:cs="Times New Roman"/>
          <w:sz w:val="26"/>
          <w:szCs w:val="26"/>
          <w:lang w:val="uk-UA"/>
        </w:rPr>
      </w:pPr>
      <w:r w:rsidRPr="00147494">
        <w:rPr>
          <w:rFonts w:ascii="Times New Roman" w:eastAsia="Calibri" w:hAnsi="Times New Roman" w:cs="Times New Roman"/>
          <w:sz w:val="26"/>
          <w:szCs w:val="26"/>
          <w:lang w:val="uk-UA"/>
        </w:rPr>
        <w:t xml:space="preserve">Таким чином для реалізації обрано </w:t>
      </w:r>
      <w:r w:rsidRPr="00147494">
        <w:rPr>
          <w:rFonts w:ascii="Times New Roman" w:eastAsia="Calibri" w:hAnsi="Times New Roman" w:cs="Times New Roman"/>
          <w:b/>
          <w:sz w:val="26"/>
          <w:szCs w:val="26"/>
          <w:lang w:val="uk-UA"/>
        </w:rPr>
        <w:t>Альтернативу 2</w:t>
      </w:r>
      <w:r w:rsidRPr="00147494">
        <w:rPr>
          <w:rFonts w:ascii="Times New Roman" w:eastAsia="Calibri" w:hAnsi="Times New Roman" w:cs="Times New Roman"/>
          <w:sz w:val="26"/>
          <w:szCs w:val="26"/>
          <w:lang w:val="uk-UA"/>
        </w:rPr>
        <w:t xml:space="preserve"> – встановлення економічно обгрунтованих розмірів ставок податку на нерухоме майно, відмінне від земельної ділянки, земельного податку та єдиного податку, що є посильним для платників, що забезпечить фінансову спроможність Ольгопільської сільської</w:t>
      </w:r>
      <w:r w:rsidRPr="00147494">
        <w:rPr>
          <w:rFonts w:ascii="Calibri" w:eastAsia="Calibri" w:hAnsi="Calibri" w:cs="Times New Roman"/>
          <w:sz w:val="26"/>
          <w:szCs w:val="26"/>
          <w:lang w:val="uk-UA"/>
        </w:rPr>
        <w:t xml:space="preserve"> </w:t>
      </w:r>
      <w:r w:rsidRPr="00147494">
        <w:rPr>
          <w:rFonts w:ascii="Times New Roman" w:eastAsia="Calibri" w:hAnsi="Times New Roman" w:cs="Times New Roman"/>
          <w:sz w:val="26"/>
          <w:szCs w:val="26"/>
          <w:lang w:val="uk-UA"/>
        </w:rPr>
        <w:t>територіальної громади.</w:t>
      </w:r>
    </w:p>
    <w:p w:rsidR="00147494" w:rsidRPr="00147494" w:rsidRDefault="00147494" w:rsidP="00147494">
      <w:pPr>
        <w:ind w:firstLine="709"/>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b/>
          <w:sz w:val="26"/>
          <w:szCs w:val="26"/>
          <w:lang w:val="uk-UA" w:eastAsia="ru-RU"/>
        </w:rPr>
        <w:t>5.</w:t>
      </w:r>
      <w:r w:rsidRPr="00147494">
        <w:rPr>
          <w:rFonts w:ascii="Times New Roman" w:eastAsia="Times New Roman" w:hAnsi="Times New Roman" w:cs="Times New Roman"/>
          <w:b/>
          <w:sz w:val="26"/>
          <w:szCs w:val="26"/>
          <w:lang w:eastAsia="ru-RU"/>
        </w:rPr>
        <w:t xml:space="preserve"> Механізм, який пропонується застосувати</w:t>
      </w:r>
      <w:r w:rsidRPr="00147494">
        <w:rPr>
          <w:rFonts w:ascii="Times New Roman" w:eastAsia="Times New Roman" w:hAnsi="Times New Roman" w:cs="Times New Roman"/>
          <w:sz w:val="26"/>
          <w:szCs w:val="26"/>
          <w:lang w:eastAsia="ru-RU"/>
        </w:rPr>
        <w:t xml:space="preserve"> </w:t>
      </w:r>
      <w:r w:rsidRPr="00147494">
        <w:rPr>
          <w:rFonts w:ascii="Times New Roman" w:eastAsia="Times New Roman" w:hAnsi="Times New Roman" w:cs="Times New Roman"/>
          <w:b/>
          <w:sz w:val="26"/>
          <w:szCs w:val="26"/>
          <w:lang w:eastAsia="ru-RU"/>
        </w:rPr>
        <w:t>для розв’язання проблеми</w:t>
      </w:r>
      <w:r w:rsidRPr="00147494">
        <w:rPr>
          <w:rFonts w:ascii="Times New Roman" w:eastAsia="Times New Roman" w:hAnsi="Times New Roman" w:cs="Times New Roman"/>
          <w:sz w:val="26"/>
          <w:szCs w:val="26"/>
          <w:lang w:eastAsia="ru-RU"/>
        </w:rPr>
        <w:t>.</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eastAsia="ru-RU"/>
        </w:rPr>
        <w:t xml:space="preserve"> Основним механізмом, який забезпечить розв’язання визначеної проблеми,</w:t>
      </w:r>
      <w:r w:rsidRPr="00147494">
        <w:rPr>
          <w:rFonts w:ascii="Times New Roman" w:eastAsia="Times New Roman" w:hAnsi="Times New Roman" w:cs="Times New Roman"/>
          <w:sz w:val="26"/>
          <w:szCs w:val="26"/>
          <w:lang w:val="uk-UA" w:eastAsia="ru-RU"/>
        </w:rPr>
        <w:t xml:space="preserve"> </w:t>
      </w:r>
      <w:r w:rsidRPr="00147494">
        <w:rPr>
          <w:rFonts w:ascii="Times New Roman" w:eastAsia="Times New Roman" w:hAnsi="Times New Roman" w:cs="Times New Roman"/>
          <w:sz w:val="26"/>
          <w:szCs w:val="26"/>
          <w:lang w:eastAsia="ru-RU"/>
        </w:rPr>
        <w:t>є встановлення м</w:t>
      </w:r>
      <w:r w:rsidRPr="00147494">
        <w:rPr>
          <w:rFonts w:ascii="Times New Roman" w:eastAsia="Times New Roman" w:hAnsi="Times New Roman" w:cs="Times New Roman"/>
          <w:sz w:val="26"/>
          <w:szCs w:val="26"/>
          <w:lang w:val="uk-UA" w:eastAsia="ru-RU"/>
        </w:rPr>
        <w:t>і</w:t>
      </w:r>
      <w:r w:rsidRPr="00147494">
        <w:rPr>
          <w:rFonts w:ascii="Times New Roman" w:eastAsia="Times New Roman" w:hAnsi="Times New Roman" w:cs="Times New Roman"/>
          <w:sz w:val="26"/>
          <w:szCs w:val="26"/>
          <w:lang w:eastAsia="ru-RU"/>
        </w:rPr>
        <w:t>сцевих податк</w:t>
      </w:r>
      <w:r w:rsidRPr="00147494">
        <w:rPr>
          <w:rFonts w:ascii="Times New Roman" w:eastAsia="Times New Roman" w:hAnsi="Times New Roman" w:cs="Times New Roman"/>
          <w:sz w:val="26"/>
          <w:szCs w:val="26"/>
          <w:lang w:val="uk-UA" w:eastAsia="ru-RU"/>
        </w:rPr>
        <w:t>і</w:t>
      </w:r>
      <w:r w:rsidRPr="00147494">
        <w:rPr>
          <w:rFonts w:ascii="Times New Roman" w:eastAsia="Times New Roman" w:hAnsi="Times New Roman" w:cs="Times New Roman"/>
          <w:sz w:val="26"/>
          <w:szCs w:val="26"/>
          <w:lang w:eastAsia="ru-RU"/>
        </w:rPr>
        <w:t>в і збор</w:t>
      </w:r>
      <w:r w:rsidRPr="00147494">
        <w:rPr>
          <w:rFonts w:ascii="Times New Roman" w:eastAsia="Times New Roman" w:hAnsi="Times New Roman" w:cs="Times New Roman"/>
          <w:sz w:val="26"/>
          <w:szCs w:val="26"/>
          <w:lang w:val="uk-UA" w:eastAsia="ru-RU"/>
        </w:rPr>
        <w:t>і</w:t>
      </w:r>
      <w:r w:rsidRPr="00147494">
        <w:rPr>
          <w:rFonts w:ascii="Times New Roman" w:eastAsia="Times New Roman" w:hAnsi="Times New Roman" w:cs="Times New Roman"/>
          <w:sz w:val="26"/>
          <w:szCs w:val="26"/>
          <w:lang w:eastAsia="ru-RU"/>
        </w:rPr>
        <w:t>в.</w:t>
      </w:r>
      <w:r w:rsidRPr="00147494">
        <w:rPr>
          <w:rFonts w:ascii="Times New Roman" w:eastAsia="Times New Roman" w:hAnsi="Times New Roman" w:cs="Times New Roman"/>
          <w:sz w:val="26"/>
          <w:szCs w:val="26"/>
          <w:lang w:val="uk-UA" w:eastAsia="ru-RU"/>
        </w:rPr>
        <w:t xml:space="preserve"> </w:t>
      </w:r>
      <w:r w:rsidRPr="00147494">
        <w:rPr>
          <w:rFonts w:ascii="Times New Roman" w:eastAsia="Times New Roman" w:hAnsi="Times New Roman" w:cs="Times New Roman"/>
          <w:sz w:val="26"/>
          <w:szCs w:val="26"/>
          <w:lang w:eastAsia="ru-RU"/>
        </w:rPr>
        <w:t>По кожному виду м</w:t>
      </w:r>
      <w:r w:rsidRPr="00147494">
        <w:rPr>
          <w:rFonts w:ascii="Times New Roman" w:eastAsia="Times New Roman" w:hAnsi="Times New Roman" w:cs="Times New Roman"/>
          <w:sz w:val="26"/>
          <w:szCs w:val="26"/>
          <w:lang w:val="uk-UA" w:eastAsia="ru-RU"/>
        </w:rPr>
        <w:t>і</w:t>
      </w:r>
      <w:r w:rsidRPr="00147494">
        <w:rPr>
          <w:rFonts w:ascii="Times New Roman" w:eastAsia="Times New Roman" w:hAnsi="Times New Roman" w:cs="Times New Roman"/>
          <w:sz w:val="26"/>
          <w:szCs w:val="26"/>
          <w:lang w:eastAsia="ru-RU"/>
        </w:rPr>
        <w:t>сцевого податку визначаються платники податку, об’</w:t>
      </w:r>
      <w:r w:rsidRPr="00147494">
        <w:rPr>
          <w:rFonts w:ascii="Times New Roman" w:eastAsia="Times New Roman" w:hAnsi="Times New Roman" w:cs="Times New Roman"/>
          <w:sz w:val="26"/>
          <w:szCs w:val="26"/>
          <w:lang w:val="uk-UA" w:eastAsia="ru-RU"/>
        </w:rPr>
        <w:t>є</w:t>
      </w:r>
      <w:r w:rsidRPr="00147494">
        <w:rPr>
          <w:rFonts w:ascii="Times New Roman" w:eastAsia="Times New Roman" w:hAnsi="Times New Roman" w:cs="Times New Roman"/>
          <w:sz w:val="26"/>
          <w:szCs w:val="26"/>
          <w:lang w:eastAsia="ru-RU"/>
        </w:rPr>
        <w:t>кти оподаткування, база оподаткування, ставка податку,</w:t>
      </w:r>
      <w:r w:rsidRPr="00147494">
        <w:rPr>
          <w:rFonts w:ascii="Times New Roman" w:eastAsia="Times New Roman" w:hAnsi="Times New Roman" w:cs="Times New Roman"/>
          <w:sz w:val="26"/>
          <w:szCs w:val="26"/>
          <w:lang w:val="uk-UA" w:eastAsia="ru-RU"/>
        </w:rPr>
        <w:t xml:space="preserve"> строк сплати податку, порядок сплати, податкові </w:t>
      </w:r>
      <w:proofErr w:type="gramStart"/>
      <w:r w:rsidRPr="00147494">
        <w:rPr>
          <w:rFonts w:ascii="Times New Roman" w:eastAsia="Times New Roman" w:hAnsi="Times New Roman" w:cs="Times New Roman"/>
          <w:sz w:val="26"/>
          <w:szCs w:val="26"/>
          <w:lang w:val="uk-UA" w:eastAsia="ru-RU"/>
        </w:rPr>
        <w:t>п</w:t>
      </w:r>
      <w:proofErr w:type="gramEnd"/>
      <w:r w:rsidRPr="00147494">
        <w:rPr>
          <w:rFonts w:ascii="Times New Roman" w:eastAsia="Times New Roman" w:hAnsi="Times New Roman" w:cs="Times New Roman"/>
          <w:sz w:val="26"/>
          <w:szCs w:val="26"/>
          <w:lang w:val="uk-UA" w:eastAsia="ru-RU"/>
        </w:rPr>
        <w:t>ільги та порядок їх застосування.</w:t>
      </w:r>
    </w:p>
    <w:p w:rsidR="00147494" w:rsidRPr="00147494" w:rsidRDefault="00147494" w:rsidP="00147494">
      <w:pPr>
        <w:ind w:firstLine="709"/>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При здійсненні регуляторної діяльності розглядаються обгрунтовані пропозиції та зауваження до проєкту рішення, надані суб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єктами господарювання, представниками територіальної громади у встановленому законом порядку.</w:t>
      </w:r>
    </w:p>
    <w:p w:rsidR="00147494" w:rsidRPr="00147494" w:rsidRDefault="00147494" w:rsidP="00147494">
      <w:pPr>
        <w:ind w:firstLine="708"/>
        <w:jc w:val="both"/>
        <w:rPr>
          <w:rFonts w:ascii="Times New Roman" w:eastAsia="Times New Roman" w:hAnsi="Times New Roman" w:cs="Times New Roman"/>
          <w:b/>
          <w:noProof/>
          <w:sz w:val="26"/>
          <w:szCs w:val="26"/>
          <w:lang w:val="uk-UA" w:eastAsia="ru-RU"/>
        </w:rPr>
      </w:pPr>
      <w:r w:rsidRPr="00147494">
        <w:rPr>
          <w:rFonts w:ascii="Times New Roman" w:eastAsia="Times New Roman" w:hAnsi="Times New Roman" w:cs="Times New Roman"/>
          <w:b/>
          <w:noProof/>
          <w:sz w:val="26"/>
          <w:szCs w:val="26"/>
          <w:lang w:val="uk-UA" w:eastAsia="ru-RU"/>
        </w:rPr>
        <w:t xml:space="preserve">Заходи, які мають здійснити органи влади для впровадження цього регуляторного акта:  </w:t>
      </w:r>
    </w:p>
    <w:p w:rsidR="00147494" w:rsidRPr="00147494" w:rsidRDefault="00147494" w:rsidP="00147494">
      <w:pPr>
        <w:ind w:firstLine="708"/>
        <w:jc w:val="both"/>
        <w:rPr>
          <w:rFonts w:ascii="Times New Roman" w:eastAsia="Times New Roman" w:hAnsi="Times New Roman" w:cs="Times New Roman"/>
          <w:sz w:val="20"/>
          <w:szCs w:val="20"/>
          <w:lang w:val="uk-UA" w:eastAsia="ru-RU"/>
        </w:rPr>
      </w:pPr>
      <w:r w:rsidRPr="00147494">
        <w:rPr>
          <w:rFonts w:ascii="Times New Roman" w:eastAsia="Times New Roman" w:hAnsi="Times New Roman" w:cs="Times New Roman"/>
          <w:noProof/>
          <w:sz w:val="26"/>
          <w:szCs w:val="26"/>
          <w:lang w:val="uk-UA" w:eastAsia="ru-RU"/>
        </w:rPr>
        <w:t>1. Розробка та оприлюднення проєкту рішення «</w:t>
      </w:r>
      <w:r w:rsidRPr="00147494">
        <w:rPr>
          <w:rFonts w:ascii="Times New Roman" w:eastAsia="Times New Roman" w:hAnsi="Times New Roman" w:cs="Times New Roman"/>
          <w:sz w:val="26"/>
          <w:szCs w:val="26"/>
          <w:lang w:val="uk-UA" w:eastAsia="ru-RU"/>
        </w:rPr>
        <w:t>Про встановлення ставок місцевих податків та зборів на території населених пунктів Мостівської сільської ради на 2022 рік</w:t>
      </w:r>
      <w:r w:rsidRPr="00147494">
        <w:rPr>
          <w:rFonts w:ascii="Times New Roman" w:eastAsia="Times New Roman" w:hAnsi="Times New Roman" w:cs="Times New Roman"/>
          <w:sz w:val="26"/>
          <w:szCs w:val="26"/>
          <w:lang w:val="uk-UA"/>
        </w:rPr>
        <w:t>»,</w:t>
      </w:r>
      <w:r w:rsidRPr="00147494">
        <w:rPr>
          <w:rFonts w:ascii="Times New Roman" w:eastAsia="Times New Roman" w:hAnsi="Times New Roman" w:cs="Times New Roman"/>
          <w:bCs/>
          <w:sz w:val="26"/>
          <w:szCs w:val="26"/>
          <w:lang w:val="uk-UA"/>
        </w:rPr>
        <w:t xml:space="preserve"> </w:t>
      </w:r>
      <w:r w:rsidRPr="00147494">
        <w:rPr>
          <w:rFonts w:ascii="Times New Roman" w:eastAsia="Times New Roman" w:hAnsi="Times New Roman" w:cs="Times New Roman"/>
          <w:noProof/>
          <w:sz w:val="26"/>
          <w:szCs w:val="26"/>
          <w:lang w:val="uk-UA" w:eastAsia="ru-RU"/>
        </w:rPr>
        <w:t>та АРВ до нього з метою отримання зауважень та пропозицій.</w:t>
      </w:r>
    </w:p>
    <w:p w:rsidR="00147494" w:rsidRPr="00147494" w:rsidRDefault="00147494" w:rsidP="00147494">
      <w:pPr>
        <w:ind w:firstLine="709"/>
        <w:rPr>
          <w:rFonts w:ascii="Times New Roman" w:eastAsia="Times New Roman" w:hAnsi="Times New Roman" w:cs="Times New Roman"/>
          <w:sz w:val="20"/>
          <w:szCs w:val="20"/>
          <w:lang w:eastAsia="ru-RU"/>
        </w:rPr>
      </w:pPr>
      <w:r w:rsidRPr="00147494">
        <w:rPr>
          <w:rFonts w:ascii="Times New Roman" w:eastAsia="Times New Roman" w:hAnsi="Times New Roman" w:cs="Times New Roman"/>
          <w:noProof/>
          <w:sz w:val="26"/>
          <w:szCs w:val="26"/>
          <w:lang w:val="uk-UA" w:eastAsia="ru-RU"/>
        </w:rPr>
        <w:t>2. Проведення консультацій з суб’єктами господарювання.</w:t>
      </w:r>
    </w:p>
    <w:p w:rsidR="00147494" w:rsidRPr="00147494" w:rsidRDefault="00147494" w:rsidP="00147494">
      <w:pPr>
        <w:ind w:firstLine="709"/>
        <w:jc w:val="both"/>
        <w:rPr>
          <w:rFonts w:ascii="Times New Roman" w:eastAsia="Times New Roman" w:hAnsi="Times New Roman" w:cs="Times New Roman"/>
          <w:noProof/>
          <w:sz w:val="26"/>
          <w:szCs w:val="26"/>
          <w:lang w:val="uk-UA" w:eastAsia="ru-RU"/>
        </w:rPr>
      </w:pPr>
      <w:r w:rsidRPr="00147494">
        <w:rPr>
          <w:rFonts w:ascii="Times New Roman" w:eastAsia="Times New Roman" w:hAnsi="Times New Roman" w:cs="Times New Roman"/>
          <w:noProof/>
          <w:sz w:val="26"/>
          <w:szCs w:val="26"/>
          <w:lang w:val="uk-UA" w:eastAsia="ru-RU"/>
        </w:rPr>
        <w:t xml:space="preserve">3. Підготовка експертного висновку відповідальної комісії, щодо відповідності </w:t>
      </w:r>
    </w:p>
    <w:p w:rsidR="00147494" w:rsidRPr="00147494" w:rsidRDefault="00147494" w:rsidP="00147494">
      <w:pPr>
        <w:ind w:firstLine="709"/>
        <w:jc w:val="both"/>
        <w:rPr>
          <w:rFonts w:ascii="Times New Roman" w:eastAsia="Times New Roman" w:hAnsi="Times New Roman" w:cs="Times New Roman"/>
          <w:noProof/>
          <w:sz w:val="26"/>
          <w:szCs w:val="26"/>
          <w:lang w:val="uk-UA" w:eastAsia="ru-RU"/>
        </w:rPr>
      </w:pPr>
      <w:r w:rsidRPr="00147494">
        <w:rPr>
          <w:rFonts w:ascii="Times New Roman" w:eastAsia="Times New Roman" w:hAnsi="Times New Roman" w:cs="Times New Roman"/>
          <w:noProof/>
          <w:sz w:val="26"/>
          <w:szCs w:val="26"/>
          <w:lang w:val="uk-UA" w:eastAsia="ru-RU"/>
        </w:rPr>
        <w:t>проекту рішення вимогам Закону України «Про засади державної регуляторної політики у сфері господарської діяльності».</w:t>
      </w:r>
    </w:p>
    <w:p w:rsidR="00147494" w:rsidRPr="00147494" w:rsidRDefault="00147494" w:rsidP="00147494">
      <w:pPr>
        <w:ind w:firstLine="709"/>
        <w:jc w:val="both"/>
      </w:pPr>
      <w:r w:rsidRPr="00147494">
        <w:rPr>
          <w:noProof/>
          <w:sz w:val="26"/>
          <w:szCs w:val="26"/>
          <w:lang w:val="uk-UA"/>
        </w:rPr>
        <w:t>4. Отримання висновку від Державної регуляторної служби України та встановлення ставок місцевих податків та зборів.</w:t>
      </w:r>
    </w:p>
    <w:p w:rsidR="00147494" w:rsidRPr="00147494" w:rsidRDefault="00147494" w:rsidP="00147494">
      <w:pPr>
        <w:ind w:firstLine="709"/>
        <w:jc w:val="both"/>
        <w:rPr>
          <w:noProof/>
          <w:sz w:val="26"/>
          <w:szCs w:val="26"/>
          <w:lang w:val="uk-UA"/>
        </w:rPr>
      </w:pPr>
      <w:r w:rsidRPr="00147494">
        <w:rPr>
          <w:noProof/>
          <w:sz w:val="26"/>
          <w:szCs w:val="26"/>
          <w:lang w:val="uk-UA"/>
        </w:rPr>
        <w:t>5. Оприлюднення рішення.</w:t>
      </w:r>
    </w:p>
    <w:p w:rsidR="00147494" w:rsidRPr="00147494" w:rsidRDefault="00147494" w:rsidP="00147494">
      <w:pPr>
        <w:ind w:firstLine="709"/>
        <w:jc w:val="both"/>
        <w:rPr>
          <w:noProof/>
          <w:sz w:val="26"/>
          <w:szCs w:val="26"/>
          <w:lang w:val="uk-UA"/>
        </w:rPr>
      </w:pPr>
      <w:r w:rsidRPr="00147494">
        <w:rPr>
          <w:noProof/>
          <w:sz w:val="26"/>
          <w:szCs w:val="26"/>
          <w:lang w:val="uk-UA"/>
        </w:rPr>
        <w:lastRenderedPageBreak/>
        <w:t>6. Проведення заходів з відстеження результативності прийнятого рішення.</w:t>
      </w:r>
    </w:p>
    <w:p w:rsidR="00147494" w:rsidRPr="00147494" w:rsidRDefault="00147494" w:rsidP="00147494">
      <w:pPr>
        <w:ind w:firstLine="709"/>
        <w:jc w:val="both"/>
        <w:rPr>
          <w:rFonts w:ascii="Times New Roman" w:eastAsia="Times New Roman" w:hAnsi="Times New Roman" w:cs="Times New Roman"/>
          <w:sz w:val="20"/>
          <w:szCs w:val="20"/>
          <w:lang w:eastAsia="ru-RU"/>
        </w:rPr>
      </w:pPr>
      <w:r w:rsidRPr="00147494">
        <w:rPr>
          <w:rFonts w:ascii="Times New Roman" w:eastAsia="Times New Roman" w:hAnsi="Times New Roman" w:cs="Times New Roman"/>
          <w:sz w:val="26"/>
          <w:szCs w:val="26"/>
          <w:lang w:val="uk-UA" w:eastAsia="ru-RU"/>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 в тому числі нерезидентами, які є власниками  об’єктів житлової та/або нежитлової нерухомості, та громадянами, які сплачують податок на нерухоме майно, відмінне від земельної ділянки, у порядку та на умовах, визначених Податковим Кодексом та цим регуляторним актом.</w:t>
      </w:r>
    </w:p>
    <w:p w:rsidR="00147494" w:rsidRPr="00147494" w:rsidRDefault="00147494" w:rsidP="00147494">
      <w:pPr>
        <w:ind w:firstLine="709"/>
        <w:jc w:val="both"/>
        <w:rPr>
          <w:noProof/>
        </w:rPr>
      </w:pPr>
      <w:r w:rsidRPr="00147494">
        <w:rPr>
          <w:noProof/>
          <w:sz w:val="26"/>
          <w:szCs w:val="26"/>
          <w:lang w:val="uk-UA"/>
        </w:rPr>
        <w:t>Встановлення запропонованих ставок податків на 2022 рік є основним механізмом, який забезпечить розв’язання визначеної проблеми.</w:t>
      </w:r>
    </w:p>
    <w:p w:rsidR="00147494" w:rsidRPr="00147494" w:rsidRDefault="00147494" w:rsidP="00147494">
      <w:pPr>
        <w:ind w:firstLine="709"/>
        <w:jc w:val="both"/>
        <w:rPr>
          <w:rFonts w:ascii="Times New Roman" w:eastAsia="Times New Roman" w:hAnsi="Times New Roman" w:cs="Times New Roman"/>
          <w:sz w:val="20"/>
          <w:szCs w:val="20"/>
          <w:lang w:eastAsia="ru-RU"/>
        </w:rPr>
      </w:pPr>
      <w:r w:rsidRPr="00147494">
        <w:rPr>
          <w:rFonts w:ascii="Times New Roman" w:eastAsia="Times New Roman" w:hAnsi="Times New Roman" w:cs="Times New Roman"/>
          <w:noProof/>
          <w:sz w:val="26"/>
          <w:szCs w:val="26"/>
          <w:lang w:val="uk-UA" w:eastAsia="ru-RU"/>
        </w:rPr>
        <w:t>За результатами проведених розрахунків очікуваних  витрат та вигод СПД, прогнозується, що прийняття зазначеного проєкту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147494" w:rsidRPr="00147494" w:rsidRDefault="00147494" w:rsidP="00147494">
      <w:pPr>
        <w:keepNext/>
        <w:ind w:firstLine="567"/>
        <w:jc w:val="center"/>
        <w:outlineLvl w:val="2"/>
        <w:rPr>
          <w:rFonts w:ascii="Times New Roman" w:eastAsia="Times New Roman" w:hAnsi="Times New Roman" w:cs="Times New Roman"/>
          <w:b/>
          <w:sz w:val="26"/>
          <w:szCs w:val="26"/>
          <w:lang w:val="uk-UA" w:eastAsia="ru-RU"/>
        </w:rPr>
      </w:pPr>
    </w:p>
    <w:p w:rsidR="00147494" w:rsidRPr="00147494" w:rsidRDefault="00147494" w:rsidP="00147494">
      <w:pPr>
        <w:keepNext/>
        <w:ind w:firstLine="567"/>
        <w:jc w:val="both"/>
        <w:outlineLvl w:val="2"/>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47494" w:rsidRPr="00147494" w:rsidRDefault="00147494" w:rsidP="00147494">
      <w:pPr>
        <w:ind w:firstLine="708"/>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eastAsia="ru-RU"/>
        </w:rPr>
        <w:t xml:space="preserve">Бюджетні витрати на </w:t>
      </w:r>
      <w:proofErr w:type="gramStart"/>
      <w:r w:rsidRPr="00147494">
        <w:rPr>
          <w:rFonts w:ascii="Times New Roman" w:eastAsia="Times New Roman" w:hAnsi="Times New Roman" w:cs="Times New Roman"/>
          <w:sz w:val="26"/>
          <w:szCs w:val="26"/>
          <w:lang w:eastAsia="ru-RU"/>
        </w:rPr>
        <w:t>адм</w:t>
      </w:r>
      <w:proofErr w:type="gramEnd"/>
      <w:r w:rsidRPr="00147494">
        <w:rPr>
          <w:rFonts w:ascii="Times New Roman" w:eastAsia="Times New Roman" w:hAnsi="Times New Roman" w:cs="Times New Roman"/>
          <w:sz w:val="26"/>
          <w:szCs w:val="26"/>
          <w:lang w:eastAsia="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147494">
        <w:rPr>
          <w:rFonts w:ascii="Times New Roman" w:eastAsia="Times New Roman" w:hAnsi="Times New Roman" w:cs="Times New Roman"/>
          <w:sz w:val="26"/>
          <w:szCs w:val="26"/>
          <w:lang w:eastAsia="ru-RU"/>
        </w:rPr>
        <w:t>адм</w:t>
      </w:r>
      <w:proofErr w:type="gramEnd"/>
      <w:r w:rsidRPr="00147494">
        <w:rPr>
          <w:rFonts w:ascii="Times New Roman" w:eastAsia="Times New Roman" w:hAnsi="Times New Roman" w:cs="Times New Roman"/>
          <w:sz w:val="26"/>
          <w:szCs w:val="26"/>
          <w:lang w:eastAsia="ru-RU"/>
        </w:rPr>
        <w:t>іністративні процедури.</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додаток 2 до АРВ.</w:t>
      </w:r>
    </w:p>
    <w:p w:rsidR="00147494" w:rsidRPr="00147494" w:rsidRDefault="00147494" w:rsidP="00147494">
      <w:pPr>
        <w:ind w:firstLine="567"/>
        <w:jc w:val="both"/>
        <w:rPr>
          <w:rFonts w:ascii="Times New Roman" w:eastAsia="Times New Roman" w:hAnsi="Times New Roman" w:cs="Times New Roman"/>
          <w:sz w:val="28"/>
          <w:szCs w:val="28"/>
          <w:lang w:val="uk-UA" w:eastAsia="ru-RU"/>
        </w:rPr>
      </w:pPr>
    </w:p>
    <w:p w:rsidR="00147494" w:rsidRPr="00147494" w:rsidRDefault="00147494" w:rsidP="00147494">
      <w:pPr>
        <w:keepNext/>
        <w:ind w:firstLine="567"/>
        <w:jc w:val="both"/>
        <w:outlineLvl w:val="2"/>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7. Обґрунтування запропонованого строку дії регуляторного акта.</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Запропонований термін дії регуляторного акта один рік. В разі внесення змін до чинного законодавства України в частині справляння місцевих податків та зборів, відповідні зміни будуть внесені до даного регуляторного акта.</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У разі якщо до 15 липня року, що передує бюджетному періоду, в якому планується застосування місцевих податків сільська рада не прийняла рішення про встановлення місцевих податків, такі податки справляються із застосуванням ставок, які діяли до 31 грудня року, що передує бюджетному періоду, в якому планується застосування таких місцевих податків. Враховуючи норми Бюджетного та Податкового кодексів України, 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p>
    <w:p w:rsidR="00147494" w:rsidRPr="00147494" w:rsidRDefault="00147494" w:rsidP="00147494">
      <w:pPr>
        <w:keepNext/>
        <w:ind w:firstLine="567"/>
        <w:jc w:val="both"/>
        <w:outlineLvl w:val="2"/>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8. Визначення показників результативності дії регуляторного акта.</w:t>
      </w:r>
    </w:p>
    <w:p w:rsidR="00147494" w:rsidRPr="00147494" w:rsidRDefault="00147494" w:rsidP="00147494">
      <w:pPr>
        <w:ind w:firstLine="567"/>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val="uk-UA" w:eastAsia="ru-RU"/>
        </w:rPr>
        <w:t xml:space="preserve"> </w:t>
      </w:r>
      <w:r w:rsidRPr="00147494">
        <w:rPr>
          <w:rFonts w:ascii="Times New Roman" w:eastAsia="Times New Roman" w:hAnsi="Times New Roman" w:cs="Times New Roman"/>
          <w:sz w:val="26"/>
          <w:szCs w:val="26"/>
          <w:lang w:eastAsia="ru-RU"/>
        </w:rPr>
        <w:t xml:space="preserve">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показника, які безпосередньо характеризують </w:t>
      </w:r>
      <w:r w:rsidRPr="00147494">
        <w:rPr>
          <w:rFonts w:ascii="Times New Roman" w:eastAsia="Times New Roman" w:hAnsi="Times New Roman" w:cs="Times New Roman"/>
          <w:sz w:val="26"/>
          <w:szCs w:val="26"/>
          <w:lang w:eastAsia="ru-RU"/>
        </w:rPr>
        <w:lastRenderedPageBreak/>
        <w:t xml:space="preserve">результативність дії регуляторного акта та які </w:t>
      </w:r>
      <w:proofErr w:type="gramStart"/>
      <w:r w:rsidRPr="00147494">
        <w:rPr>
          <w:rFonts w:ascii="Times New Roman" w:eastAsia="Times New Roman" w:hAnsi="Times New Roman" w:cs="Times New Roman"/>
          <w:sz w:val="26"/>
          <w:szCs w:val="26"/>
          <w:lang w:eastAsia="ru-RU"/>
        </w:rPr>
        <w:t>п</w:t>
      </w:r>
      <w:proofErr w:type="gramEnd"/>
      <w:r w:rsidRPr="00147494">
        <w:rPr>
          <w:rFonts w:ascii="Times New Roman" w:eastAsia="Times New Roman" w:hAnsi="Times New Roman" w:cs="Times New Roman"/>
          <w:sz w:val="26"/>
          <w:szCs w:val="26"/>
          <w:lang w:eastAsia="ru-RU"/>
        </w:rPr>
        <w:t>ідлягають контролю (відстеження результативності).</w:t>
      </w:r>
    </w:p>
    <w:p w:rsidR="00147494" w:rsidRPr="00147494" w:rsidRDefault="00147494" w:rsidP="00147494">
      <w:pPr>
        <w:ind w:firstLine="567"/>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val="uk-UA" w:eastAsia="ru-RU"/>
        </w:rPr>
        <w:t xml:space="preserve"> </w:t>
      </w:r>
      <w:r w:rsidRPr="00147494">
        <w:rPr>
          <w:rFonts w:ascii="Times New Roman" w:eastAsia="Times New Roman" w:hAnsi="Times New Roman" w:cs="Times New Roman"/>
          <w:sz w:val="26"/>
          <w:szCs w:val="26"/>
          <w:lang w:eastAsia="ru-RU"/>
        </w:rPr>
        <w:t>Для відстеження результативності дії регуляторного акта</w:t>
      </w:r>
      <w:r w:rsidRPr="00147494">
        <w:rPr>
          <w:rFonts w:ascii="Times New Roman" w:eastAsia="Times New Roman" w:hAnsi="Times New Roman" w:cs="Times New Roman"/>
          <w:sz w:val="26"/>
          <w:szCs w:val="26"/>
          <w:lang w:val="uk-UA" w:eastAsia="ru-RU"/>
        </w:rPr>
        <w:t xml:space="preserve"> основними є</w:t>
      </w:r>
      <w:r w:rsidRPr="00147494">
        <w:rPr>
          <w:rFonts w:ascii="Times New Roman" w:eastAsia="Times New Roman" w:hAnsi="Times New Roman" w:cs="Times New Roman"/>
          <w:sz w:val="26"/>
          <w:szCs w:val="26"/>
          <w:lang w:eastAsia="ru-RU"/>
        </w:rPr>
        <w:t xml:space="preserve"> такі показники:</w:t>
      </w:r>
    </w:p>
    <w:p w:rsidR="00147494" w:rsidRPr="00147494" w:rsidRDefault="00147494" w:rsidP="00147494">
      <w:pPr>
        <w:ind w:firstLine="567"/>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eastAsia="ru-RU"/>
        </w:rPr>
        <w:t xml:space="preserve">- </w:t>
      </w:r>
      <w:r w:rsidRPr="00147494">
        <w:rPr>
          <w:rFonts w:ascii="Times New Roman" w:eastAsia="Times New Roman" w:hAnsi="Times New Roman" w:cs="Times New Roman"/>
          <w:sz w:val="26"/>
          <w:szCs w:val="26"/>
          <w:lang w:val="uk-UA" w:eastAsia="ru-RU"/>
        </w:rPr>
        <w:t>сума</w:t>
      </w:r>
      <w:r w:rsidRPr="00147494">
        <w:rPr>
          <w:rFonts w:ascii="Times New Roman" w:eastAsia="Times New Roman" w:hAnsi="Times New Roman" w:cs="Times New Roman"/>
          <w:sz w:val="26"/>
          <w:szCs w:val="26"/>
          <w:lang w:eastAsia="ru-RU"/>
        </w:rPr>
        <w:t xml:space="preserve"> надходжень до </w:t>
      </w:r>
      <w:r w:rsidRPr="00147494">
        <w:rPr>
          <w:rFonts w:ascii="Times New Roman" w:eastAsia="Times New Roman" w:hAnsi="Times New Roman" w:cs="Times New Roman"/>
          <w:sz w:val="26"/>
          <w:szCs w:val="26"/>
          <w:lang w:val="uk-UA" w:eastAsia="ru-RU"/>
        </w:rPr>
        <w:t>місцевого</w:t>
      </w:r>
      <w:r w:rsidRPr="00147494">
        <w:rPr>
          <w:rFonts w:ascii="Times New Roman" w:eastAsia="Times New Roman" w:hAnsi="Times New Roman" w:cs="Times New Roman"/>
          <w:sz w:val="26"/>
          <w:szCs w:val="26"/>
          <w:lang w:eastAsia="ru-RU"/>
        </w:rPr>
        <w:t xml:space="preserve"> бюджету від сплати місцевих податків (податок на майно, </w:t>
      </w:r>
      <w:r w:rsidRPr="00147494">
        <w:rPr>
          <w:rFonts w:ascii="Times New Roman" w:eastAsia="Times New Roman" w:hAnsi="Times New Roman" w:cs="Times New Roman"/>
          <w:sz w:val="26"/>
          <w:szCs w:val="26"/>
          <w:lang w:val="uk-UA" w:eastAsia="ru-RU"/>
        </w:rPr>
        <w:t xml:space="preserve">плата за землю, </w:t>
      </w:r>
      <w:r w:rsidRPr="00147494">
        <w:rPr>
          <w:rFonts w:ascii="Times New Roman" w:eastAsia="Times New Roman" w:hAnsi="Times New Roman" w:cs="Times New Roman"/>
          <w:sz w:val="26"/>
          <w:szCs w:val="26"/>
          <w:lang w:eastAsia="ru-RU"/>
        </w:rPr>
        <w:t xml:space="preserve">єдиний податок з фізичних осіб – </w:t>
      </w:r>
      <w:proofErr w:type="gramStart"/>
      <w:r w:rsidRPr="00147494">
        <w:rPr>
          <w:rFonts w:ascii="Times New Roman" w:eastAsia="Times New Roman" w:hAnsi="Times New Roman" w:cs="Times New Roman"/>
          <w:sz w:val="26"/>
          <w:szCs w:val="26"/>
          <w:lang w:eastAsia="ru-RU"/>
        </w:rPr>
        <w:t>п</w:t>
      </w:r>
      <w:proofErr w:type="gramEnd"/>
      <w:r w:rsidRPr="00147494">
        <w:rPr>
          <w:rFonts w:ascii="Times New Roman" w:eastAsia="Times New Roman" w:hAnsi="Times New Roman" w:cs="Times New Roman"/>
          <w:sz w:val="26"/>
          <w:szCs w:val="26"/>
          <w:lang w:eastAsia="ru-RU"/>
        </w:rPr>
        <w:t>ідприємців 1,2 групи) тис.</w:t>
      </w:r>
      <w:r w:rsidRPr="00147494">
        <w:rPr>
          <w:rFonts w:ascii="Times New Roman" w:eastAsia="Times New Roman" w:hAnsi="Times New Roman" w:cs="Times New Roman"/>
          <w:sz w:val="26"/>
          <w:szCs w:val="26"/>
          <w:lang w:val="uk-UA" w:eastAsia="ru-RU"/>
        </w:rPr>
        <w:t xml:space="preserve"> </w:t>
      </w:r>
      <w:r w:rsidRPr="00147494">
        <w:rPr>
          <w:rFonts w:ascii="Times New Roman" w:eastAsia="Times New Roman" w:hAnsi="Times New Roman" w:cs="Times New Roman"/>
          <w:sz w:val="26"/>
          <w:szCs w:val="26"/>
          <w:lang w:eastAsia="ru-RU"/>
        </w:rPr>
        <w:t>грн;</w:t>
      </w:r>
    </w:p>
    <w:p w:rsidR="00147494" w:rsidRPr="00147494" w:rsidRDefault="00147494" w:rsidP="00147494">
      <w:pPr>
        <w:ind w:firstLine="567"/>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eastAsia="ru-RU"/>
        </w:rPr>
        <w:t xml:space="preserve">- кількість суб’єктів господарської діяльності – платників місцевих податків (податок на майно, </w:t>
      </w:r>
      <w:r w:rsidRPr="00147494">
        <w:rPr>
          <w:rFonts w:ascii="Times New Roman" w:eastAsia="Times New Roman" w:hAnsi="Times New Roman" w:cs="Times New Roman"/>
          <w:sz w:val="26"/>
          <w:szCs w:val="26"/>
          <w:lang w:val="uk-UA" w:eastAsia="ru-RU"/>
        </w:rPr>
        <w:t xml:space="preserve">плата за землю, </w:t>
      </w:r>
      <w:r w:rsidRPr="00147494">
        <w:rPr>
          <w:rFonts w:ascii="Times New Roman" w:eastAsia="Times New Roman" w:hAnsi="Times New Roman" w:cs="Times New Roman"/>
          <w:sz w:val="26"/>
          <w:szCs w:val="26"/>
          <w:lang w:eastAsia="ru-RU"/>
        </w:rPr>
        <w:t xml:space="preserve">єдиний податок з фізичних осіб – </w:t>
      </w:r>
      <w:proofErr w:type="gramStart"/>
      <w:r w:rsidRPr="00147494">
        <w:rPr>
          <w:rFonts w:ascii="Times New Roman" w:eastAsia="Times New Roman" w:hAnsi="Times New Roman" w:cs="Times New Roman"/>
          <w:sz w:val="26"/>
          <w:szCs w:val="26"/>
          <w:lang w:eastAsia="ru-RU"/>
        </w:rPr>
        <w:t>п</w:t>
      </w:r>
      <w:proofErr w:type="gramEnd"/>
      <w:r w:rsidRPr="00147494">
        <w:rPr>
          <w:rFonts w:ascii="Times New Roman" w:eastAsia="Times New Roman" w:hAnsi="Times New Roman" w:cs="Times New Roman"/>
          <w:sz w:val="26"/>
          <w:szCs w:val="26"/>
          <w:lang w:eastAsia="ru-RU"/>
        </w:rPr>
        <w:t>ідприємців 1,2 групи)</w:t>
      </w:r>
      <w:r w:rsidRPr="00147494">
        <w:rPr>
          <w:rFonts w:ascii="Times New Roman" w:eastAsia="Times New Roman" w:hAnsi="Times New Roman" w:cs="Times New Roman"/>
          <w:sz w:val="26"/>
          <w:szCs w:val="26"/>
          <w:lang w:val="uk-UA" w:eastAsia="ru-RU"/>
        </w:rPr>
        <w:t>,</w:t>
      </w:r>
      <w:r w:rsidRPr="00147494">
        <w:rPr>
          <w:rFonts w:ascii="Times New Roman" w:eastAsia="Times New Roman" w:hAnsi="Times New Roman" w:cs="Times New Roman"/>
          <w:sz w:val="26"/>
          <w:szCs w:val="26"/>
          <w:lang w:eastAsia="ru-RU"/>
        </w:rPr>
        <w:t xml:space="preserve"> на яких поширюватиметься дія акта, осіб;</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розмір коштів, що витрачатимуться суб’єктами господарювання та/або фізичними особами, пов’язаними з виконанням вимог акту;</w:t>
      </w:r>
    </w:p>
    <w:p w:rsidR="00147494" w:rsidRPr="00147494" w:rsidRDefault="00147494" w:rsidP="00147494">
      <w:pPr>
        <w:ind w:firstLine="567"/>
        <w:jc w:val="both"/>
        <w:rPr>
          <w:rFonts w:ascii="Times New Roman" w:eastAsia="Times New Roman" w:hAnsi="Times New Roman" w:cs="Times New Roman"/>
          <w:sz w:val="26"/>
          <w:szCs w:val="26"/>
          <w:lang w:eastAsia="ru-RU"/>
        </w:rPr>
      </w:pPr>
      <w:r w:rsidRPr="00147494">
        <w:rPr>
          <w:rFonts w:ascii="Times New Roman" w:eastAsia="Times New Roman" w:hAnsi="Times New Roman" w:cs="Times New Roman"/>
          <w:sz w:val="26"/>
          <w:szCs w:val="26"/>
          <w:lang w:eastAsia="ru-RU"/>
        </w:rPr>
        <w:t xml:space="preserve">- </w:t>
      </w:r>
      <w:proofErr w:type="gramStart"/>
      <w:r w:rsidRPr="00147494">
        <w:rPr>
          <w:rFonts w:ascii="Times New Roman" w:eastAsia="Times New Roman" w:hAnsi="Times New Roman" w:cs="Times New Roman"/>
          <w:sz w:val="26"/>
          <w:szCs w:val="26"/>
          <w:lang w:eastAsia="ru-RU"/>
        </w:rPr>
        <w:t>р</w:t>
      </w:r>
      <w:proofErr w:type="gramEnd"/>
      <w:r w:rsidRPr="00147494">
        <w:rPr>
          <w:rFonts w:ascii="Times New Roman" w:eastAsia="Times New Roman" w:hAnsi="Times New Roman" w:cs="Times New Roman"/>
          <w:sz w:val="26"/>
          <w:szCs w:val="26"/>
          <w:lang w:eastAsia="ru-RU"/>
        </w:rPr>
        <w:t>івень поінформованості суб’єктів господарювання та/або фізичних осіб з основних положень акта.</w:t>
      </w:r>
    </w:p>
    <w:p w:rsidR="00147494" w:rsidRPr="00147494" w:rsidRDefault="00147494" w:rsidP="00147494">
      <w:pPr>
        <w:tabs>
          <w:tab w:val="left" w:pos="904"/>
        </w:tabs>
        <w:ind w:left="740" w:right="40"/>
        <w:jc w:val="both"/>
        <w:rPr>
          <w:rFonts w:ascii="Times New Roman" w:eastAsia="Times New Roman" w:hAnsi="Times New Roman" w:cs="Times New Roman"/>
          <w:sz w:val="26"/>
          <w:szCs w:val="26"/>
          <w:lang w:val="uk-UA" w:eastAsia="x-none"/>
        </w:rPr>
      </w:pPr>
      <w:r w:rsidRPr="00147494">
        <w:rPr>
          <w:rFonts w:ascii="Times New Roman" w:eastAsia="Times New Roman" w:hAnsi="Times New Roman" w:cs="Times New Roman"/>
          <w:sz w:val="26"/>
          <w:szCs w:val="26"/>
          <w:lang w:val="uk-UA" w:eastAsia="x-none"/>
        </w:rPr>
        <w:t>Прогнозні показники результативності.</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913"/>
        <w:gridCol w:w="1516"/>
        <w:gridCol w:w="923"/>
        <w:gridCol w:w="1101"/>
        <w:gridCol w:w="991"/>
        <w:gridCol w:w="984"/>
        <w:gridCol w:w="36"/>
      </w:tblGrid>
      <w:tr w:rsidR="00147494" w:rsidRPr="00147494" w:rsidTr="00147494">
        <w:trPr>
          <w:trHeight w:val="665"/>
        </w:trPr>
        <w:tc>
          <w:tcPr>
            <w:tcW w:w="586" w:type="dxa"/>
            <w:vMerge w:val="restart"/>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п/н</w:t>
            </w:r>
          </w:p>
        </w:tc>
        <w:tc>
          <w:tcPr>
            <w:tcW w:w="3917" w:type="dxa"/>
            <w:vMerge w:val="restart"/>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both"/>
              <w:rPr>
                <w:rFonts w:ascii="Times New Roman" w:eastAsia="Times New Roman" w:hAnsi="Times New Roman" w:cs="Times New Roman"/>
                <w:b/>
                <w:sz w:val="24"/>
                <w:szCs w:val="24"/>
                <w:lang w:val="uk-UA" w:eastAsia="x-none"/>
              </w:rPr>
            </w:pPr>
            <w:r w:rsidRPr="00147494">
              <w:rPr>
                <w:rFonts w:ascii="Times New Roman" w:eastAsia="Times New Roman" w:hAnsi="Times New Roman" w:cs="Times New Roman"/>
                <w:b/>
                <w:sz w:val="24"/>
                <w:szCs w:val="24"/>
                <w:lang w:val="uk-UA" w:eastAsia="x-none"/>
              </w:rPr>
              <w:t>Назва показника</w:t>
            </w:r>
          </w:p>
        </w:tc>
        <w:tc>
          <w:tcPr>
            <w:tcW w:w="5551" w:type="dxa"/>
            <w:gridSpan w:val="6"/>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both"/>
              <w:rPr>
                <w:rFonts w:ascii="Times New Roman" w:eastAsia="Times New Roman" w:hAnsi="Times New Roman" w:cs="Times New Roman"/>
                <w:b/>
                <w:sz w:val="24"/>
                <w:szCs w:val="24"/>
                <w:lang w:val="uk-UA" w:eastAsia="x-none"/>
              </w:rPr>
            </w:pPr>
            <w:r w:rsidRPr="00147494">
              <w:rPr>
                <w:rFonts w:ascii="Times New Roman" w:eastAsia="Times New Roman" w:hAnsi="Times New Roman" w:cs="Times New Roman"/>
                <w:b/>
                <w:sz w:val="24"/>
                <w:szCs w:val="24"/>
                <w:lang w:val="uk-UA" w:eastAsia="x-none"/>
              </w:rPr>
              <w:t>У разі прийняття рішення про місцеві податки та збори на 2022 р.</w:t>
            </w:r>
          </w:p>
        </w:tc>
      </w:tr>
      <w:tr w:rsidR="00147494" w:rsidRPr="00147494" w:rsidTr="00147494">
        <w:trPr>
          <w:trHeight w:val="40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sz w:val="24"/>
                <w:szCs w:val="24"/>
                <w:lang w:val="uk-UA" w:eastAsia="x-none"/>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b/>
                <w:sz w:val="24"/>
                <w:szCs w:val="24"/>
                <w:lang w:val="uk-UA" w:eastAsia="x-none"/>
              </w:rPr>
            </w:pPr>
          </w:p>
        </w:tc>
        <w:tc>
          <w:tcPr>
            <w:tcW w:w="1517" w:type="dxa"/>
            <w:vMerge w:val="restart"/>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both"/>
              <w:rPr>
                <w:rFonts w:ascii="Times New Roman" w:eastAsia="Times New Roman" w:hAnsi="Times New Roman" w:cs="Times New Roman"/>
                <w:b/>
                <w:sz w:val="24"/>
                <w:szCs w:val="24"/>
                <w:lang w:val="uk-UA" w:eastAsia="x-none"/>
              </w:rPr>
            </w:pPr>
            <w:r w:rsidRPr="00147494">
              <w:rPr>
                <w:rFonts w:ascii="Times New Roman" w:eastAsia="Times New Roman" w:hAnsi="Times New Roman" w:cs="Times New Roman"/>
                <w:b/>
                <w:sz w:val="24"/>
                <w:szCs w:val="24"/>
                <w:lang w:val="uk-UA" w:eastAsia="x-none"/>
              </w:rPr>
              <w:t>Всього за рік</w:t>
            </w:r>
          </w:p>
        </w:tc>
        <w:tc>
          <w:tcPr>
            <w:tcW w:w="4034" w:type="dxa"/>
            <w:gridSpan w:val="5"/>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в т.ч. за кварталами</w:t>
            </w:r>
          </w:p>
        </w:tc>
      </w:tr>
      <w:tr w:rsidR="00147494" w:rsidRPr="00147494" w:rsidTr="00147494">
        <w:trPr>
          <w:gridAfter w:val="1"/>
          <w:wAfter w:w="36" w:type="dxa"/>
          <w:trHeight w:val="28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sz w:val="24"/>
                <w:szCs w:val="24"/>
                <w:lang w:val="uk-UA" w:eastAsia="x-none"/>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b/>
                <w:sz w:val="24"/>
                <w:szCs w:val="24"/>
                <w:lang w:val="uk-UA" w:eastAsia="x-none"/>
              </w:rPr>
            </w:pPr>
          </w:p>
        </w:tc>
        <w:tc>
          <w:tcPr>
            <w:tcW w:w="5551" w:type="dxa"/>
            <w:vMerge/>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rPr>
                <w:rFonts w:ascii="Times New Roman" w:eastAsia="Times New Roman" w:hAnsi="Times New Roman" w:cs="Times New Roman"/>
                <w:b/>
                <w:sz w:val="24"/>
                <w:szCs w:val="24"/>
                <w:lang w:val="uk-UA" w:eastAsia="x-none"/>
              </w:rPr>
            </w:pPr>
          </w:p>
        </w:tc>
        <w:tc>
          <w:tcPr>
            <w:tcW w:w="92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center"/>
              <w:rPr>
                <w:rFonts w:ascii="Times New Roman" w:eastAsia="Times New Roman" w:hAnsi="Times New Roman" w:cs="Times New Roman"/>
                <w:b/>
                <w:sz w:val="24"/>
                <w:szCs w:val="24"/>
                <w:lang w:val="uk-UA" w:eastAsia="x-none"/>
              </w:rPr>
            </w:pPr>
            <w:r w:rsidRPr="00147494">
              <w:rPr>
                <w:rFonts w:ascii="Times New Roman" w:eastAsia="Times New Roman" w:hAnsi="Times New Roman" w:cs="Times New Roman"/>
                <w:b/>
                <w:sz w:val="24"/>
                <w:szCs w:val="24"/>
                <w:lang w:val="uk-UA" w:eastAsia="x-none"/>
              </w:rPr>
              <w:t>І</w:t>
            </w:r>
          </w:p>
        </w:tc>
        <w:tc>
          <w:tcPr>
            <w:tcW w:w="1102"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center"/>
              <w:rPr>
                <w:rFonts w:ascii="Times New Roman" w:eastAsia="Times New Roman" w:hAnsi="Times New Roman" w:cs="Times New Roman"/>
                <w:b/>
                <w:sz w:val="24"/>
                <w:szCs w:val="24"/>
                <w:lang w:val="uk-UA" w:eastAsia="x-none"/>
              </w:rPr>
            </w:pPr>
            <w:r w:rsidRPr="00147494">
              <w:rPr>
                <w:rFonts w:ascii="Times New Roman" w:eastAsia="Times New Roman" w:hAnsi="Times New Roman" w:cs="Times New Roman"/>
                <w:b/>
                <w:sz w:val="24"/>
                <w:szCs w:val="24"/>
                <w:lang w:val="uk-UA" w:eastAsia="x-none"/>
              </w:rPr>
              <w:t>ІІ</w:t>
            </w:r>
          </w:p>
        </w:tc>
        <w:tc>
          <w:tcPr>
            <w:tcW w:w="992"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center"/>
              <w:rPr>
                <w:rFonts w:ascii="Times New Roman" w:eastAsia="Times New Roman" w:hAnsi="Times New Roman" w:cs="Times New Roman"/>
                <w:b/>
                <w:sz w:val="24"/>
                <w:szCs w:val="24"/>
                <w:lang w:val="uk-UA" w:eastAsia="x-none"/>
              </w:rPr>
            </w:pPr>
            <w:r w:rsidRPr="00147494">
              <w:rPr>
                <w:rFonts w:ascii="Times New Roman" w:eastAsia="Times New Roman" w:hAnsi="Times New Roman" w:cs="Times New Roman"/>
                <w:b/>
                <w:sz w:val="24"/>
                <w:szCs w:val="24"/>
                <w:lang w:val="uk-UA" w:eastAsia="x-none"/>
              </w:rPr>
              <w:t>ІІІ</w:t>
            </w:r>
          </w:p>
        </w:tc>
        <w:tc>
          <w:tcPr>
            <w:tcW w:w="98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tabs>
                <w:tab w:val="left" w:pos="904"/>
              </w:tabs>
              <w:ind w:right="40"/>
              <w:jc w:val="center"/>
              <w:rPr>
                <w:rFonts w:ascii="Times New Roman" w:eastAsia="Times New Roman" w:hAnsi="Times New Roman" w:cs="Times New Roman"/>
                <w:b/>
                <w:sz w:val="24"/>
                <w:szCs w:val="24"/>
                <w:lang w:val="en-US" w:eastAsia="x-none"/>
              </w:rPr>
            </w:pPr>
            <w:r w:rsidRPr="00147494">
              <w:rPr>
                <w:rFonts w:ascii="Times New Roman" w:eastAsia="Times New Roman" w:hAnsi="Times New Roman" w:cs="Times New Roman"/>
                <w:b/>
                <w:sz w:val="24"/>
                <w:szCs w:val="24"/>
                <w:lang w:val="uk-UA" w:eastAsia="x-none"/>
              </w:rPr>
              <w:t>ІV</w:t>
            </w:r>
          </w:p>
        </w:tc>
      </w:tr>
      <w:tr w:rsidR="00147494" w:rsidRPr="00147494" w:rsidTr="00147494">
        <w:trPr>
          <w:gridAfter w:val="1"/>
          <w:wAfter w:w="36" w:type="dxa"/>
          <w:trHeight w:val="774"/>
        </w:trPr>
        <w:tc>
          <w:tcPr>
            <w:tcW w:w="586"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w:t>
            </w: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Разом надходжень до місцевого бюджету</w:t>
            </w:r>
            <w:r w:rsidRPr="00147494">
              <w:rPr>
                <w:rFonts w:ascii="Times New Roman" w:eastAsia="Times New Roman" w:hAnsi="Times New Roman" w:cs="Times New Roman"/>
                <w:b/>
                <w:sz w:val="24"/>
                <w:szCs w:val="24"/>
                <w:lang w:val="uk-UA" w:eastAsia="x-none"/>
              </w:rPr>
              <w:t xml:space="preserve"> </w:t>
            </w:r>
            <w:r w:rsidRPr="00147494">
              <w:rPr>
                <w:rFonts w:ascii="Times New Roman" w:eastAsia="Times New Roman" w:hAnsi="Times New Roman" w:cs="Times New Roman"/>
                <w:sz w:val="24"/>
                <w:szCs w:val="24"/>
                <w:lang w:val="uk-UA" w:eastAsia="x-none"/>
              </w:rPr>
              <w:t>(очікуваний обсяг надходжень</w:t>
            </w:r>
            <w:r w:rsidRPr="00147494">
              <w:rPr>
                <w:rFonts w:ascii="Times New Roman" w:eastAsia="Times New Roman" w:hAnsi="Times New Roman" w:cs="Times New Roman"/>
                <w:sz w:val="24"/>
                <w:szCs w:val="24"/>
                <w:lang w:eastAsia="x-none"/>
              </w:rPr>
              <w:t>, тис.грн</w:t>
            </w:r>
            <w:r w:rsidRPr="00147494">
              <w:rPr>
                <w:rFonts w:ascii="Times New Roman" w:eastAsia="Times New Roman" w:hAnsi="Times New Roman" w:cs="Times New Roman"/>
                <w:sz w:val="24"/>
                <w:szCs w:val="24"/>
                <w:lang w:val="uk-UA" w:eastAsia="x-none"/>
              </w:rPr>
              <w:t>), в тому числі:</w:t>
            </w:r>
          </w:p>
        </w:tc>
        <w:tc>
          <w:tcPr>
            <w:tcW w:w="15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16 269,8</w:t>
            </w:r>
          </w:p>
        </w:tc>
        <w:tc>
          <w:tcPr>
            <w:tcW w:w="924"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123,0</w:t>
            </w:r>
          </w:p>
        </w:tc>
        <w:tc>
          <w:tcPr>
            <w:tcW w:w="110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365,0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6 240,0</w:t>
            </w:r>
          </w:p>
        </w:tc>
        <w:tc>
          <w:tcPr>
            <w:tcW w:w="980"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6 187,8</w:t>
            </w:r>
          </w:p>
        </w:tc>
      </w:tr>
      <w:tr w:rsidR="00147494" w:rsidRPr="00147494" w:rsidTr="00147494">
        <w:trPr>
          <w:gridAfter w:val="1"/>
          <w:wAfter w:w="36" w:type="dxa"/>
          <w:trHeight w:val="645"/>
        </w:trPr>
        <w:tc>
          <w:tcPr>
            <w:tcW w:w="586"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 Єдиний податок</w:t>
            </w:r>
          </w:p>
        </w:tc>
        <w:tc>
          <w:tcPr>
            <w:tcW w:w="15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eastAsia="x-none"/>
              </w:rPr>
            </w:pPr>
            <w:r w:rsidRPr="00147494">
              <w:rPr>
                <w:rFonts w:ascii="Times New Roman" w:eastAsia="Times New Roman" w:hAnsi="Times New Roman" w:cs="Times New Roman"/>
                <w:sz w:val="24"/>
                <w:szCs w:val="24"/>
                <w:lang w:eastAsia="x-none"/>
              </w:rPr>
              <w:t>3 980,0</w:t>
            </w:r>
          </w:p>
        </w:tc>
        <w:tc>
          <w:tcPr>
            <w:tcW w:w="924"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100,0</w:t>
            </w:r>
          </w:p>
        </w:tc>
        <w:tc>
          <w:tcPr>
            <w:tcW w:w="110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11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200,0</w:t>
            </w:r>
          </w:p>
        </w:tc>
        <w:tc>
          <w:tcPr>
            <w:tcW w:w="980"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126,00</w:t>
            </w:r>
          </w:p>
        </w:tc>
      </w:tr>
      <w:tr w:rsidR="00147494" w:rsidRPr="00147494" w:rsidTr="00147494">
        <w:trPr>
          <w:gridAfter w:val="1"/>
          <w:wAfter w:w="36" w:type="dxa"/>
          <w:trHeight w:val="716"/>
        </w:trPr>
        <w:tc>
          <w:tcPr>
            <w:tcW w:w="586"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-податок на нерухоме майно відмінне від земельної ділянки</w:t>
            </w:r>
          </w:p>
        </w:tc>
        <w:tc>
          <w:tcPr>
            <w:tcW w:w="15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189,8</w:t>
            </w:r>
          </w:p>
        </w:tc>
        <w:tc>
          <w:tcPr>
            <w:tcW w:w="924"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18,0</w:t>
            </w:r>
          </w:p>
        </w:tc>
        <w:tc>
          <w:tcPr>
            <w:tcW w:w="110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50,0</w:t>
            </w:r>
          </w:p>
        </w:tc>
        <w:tc>
          <w:tcPr>
            <w:tcW w:w="980"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71,8</w:t>
            </w:r>
          </w:p>
        </w:tc>
      </w:tr>
      <w:tr w:rsidR="00147494" w:rsidRPr="00147494" w:rsidTr="00147494">
        <w:trPr>
          <w:gridAfter w:val="1"/>
          <w:wAfter w:w="36" w:type="dxa"/>
          <w:trHeight w:val="645"/>
        </w:trPr>
        <w:tc>
          <w:tcPr>
            <w:tcW w:w="586"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-плата за землю</w:t>
            </w:r>
          </w:p>
        </w:tc>
        <w:tc>
          <w:tcPr>
            <w:tcW w:w="15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12 100,0</w:t>
            </w:r>
          </w:p>
        </w:tc>
        <w:tc>
          <w:tcPr>
            <w:tcW w:w="924"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5,0</w:t>
            </w:r>
          </w:p>
        </w:tc>
        <w:tc>
          <w:tcPr>
            <w:tcW w:w="110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5 990,0</w:t>
            </w:r>
          </w:p>
        </w:tc>
        <w:tc>
          <w:tcPr>
            <w:tcW w:w="980"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5 990,0</w:t>
            </w:r>
          </w:p>
        </w:tc>
      </w:tr>
      <w:tr w:rsidR="00147494" w:rsidRPr="00147494" w:rsidTr="00147494">
        <w:trPr>
          <w:gridAfter w:val="1"/>
          <w:wAfter w:w="31" w:type="dxa"/>
          <w:trHeight w:val="820"/>
        </w:trPr>
        <w:tc>
          <w:tcPr>
            <w:tcW w:w="586"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2</w:t>
            </w: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Кількість суб`єктів господарювання та/або фізичних осіб, на яких поширюватиметься дія акта</w:t>
            </w:r>
          </w:p>
        </w:tc>
        <w:tc>
          <w:tcPr>
            <w:tcW w:w="5520" w:type="dxa"/>
            <w:gridSpan w:val="5"/>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color w:val="FF0000"/>
                <w:sz w:val="24"/>
                <w:szCs w:val="24"/>
                <w:lang w:val="uk-UA" w:eastAsia="x-none"/>
              </w:rPr>
            </w:pPr>
            <w:r w:rsidRPr="00147494">
              <w:rPr>
                <w:rFonts w:ascii="Times New Roman" w:eastAsia="Times New Roman" w:hAnsi="Times New Roman" w:cs="Times New Roman"/>
                <w:sz w:val="24"/>
                <w:szCs w:val="24"/>
                <w:lang w:val="uk-UA" w:eastAsia="x-none"/>
              </w:rPr>
              <w:t>167</w:t>
            </w:r>
          </w:p>
        </w:tc>
      </w:tr>
      <w:tr w:rsidR="00147494" w:rsidRPr="00147494" w:rsidTr="00147494">
        <w:trPr>
          <w:trHeight w:val="273"/>
        </w:trPr>
        <w:tc>
          <w:tcPr>
            <w:tcW w:w="586"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3</w:t>
            </w: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Час, що витрачатиметься суб’єктами господарювання та/або фізичними особами, пов’язаними з виконанням вимог акта, години на 1 суб’єкта .</w:t>
            </w:r>
          </w:p>
        </w:tc>
        <w:tc>
          <w:tcPr>
            <w:tcW w:w="5551" w:type="dxa"/>
            <w:gridSpan w:val="6"/>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2,0 години</w:t>
            </w:r>
          </w:p>
        </w:tc>
      </w:tr>
      <w:tr w:rsidR="00147494" w:rsidRPr="00147494" w:rsidTr="00147494">
        <w:trPr>
          <w:trHeight w:val="219"/>
        </w:trPr>
        <w:tc>
          <w:tcPr>
            <w:tcW w:w="586"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4</w:t>
            </w: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Розмір коштів, що витрачатимуться суб’єктами господарювання та/або фізичних осіб, пов’язаними з виконаннями вимог акту.</w:t>
            </w:r>
          </w:p>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 на сплату податку</w:t>
            </w:r>
          </w:p>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 на адміністративні витрати</w:t>
            </w:r>
          </w:p>
        </w:tc>
        <w:tc>
          <w:tcPr>
            <w:tcW w:w="5551" w:type="dxa"/>
            <w:gridSpan w:val="6"/>
            <w:tcBorders>
              <w:top w:val="single" w:sz="4" w:space="0" w:color="auto"/>
              <w:left w:val="single" w:sz="4" w:space="0" w:color="auto"/>
              <w:bottom w:val="single" w:sz="4" w:space="0" w:color="auto"/>
              <w:right w:val="single" w:sz="4" w:space="0" w:color="auto"/>
            </w:tcBorders>
            <w:vAlign w:val="center"/>
          </w:tcPr>
          <w:p w:rsidR="00147494" w:rsidRPr="00147494" w:rsidRDefault="00147494" w:rsidP="00147494">
            <w:pPr>
              <w:tabs>
                <w:tab w:val="left" w:pos="904"/>
              </w:tabs>
              <w:ind w:right="40"/>
              <w:jc w:val="center"/>
              <w:rPr>
                <w:rFonts w:ascii="Times New Roman" w:eastAsia="Times New Roman" w:hAnsi="Times New Roman" w:cs="Times New Roman"/>
                <w:color w:val="FF0000"/>
                <w:sz w:val="24"/>
                <w:szCs w:val="24"/>
                <w:lang w:val="uk-UA" w:eastAsia="x-none"/>
              </w:rPr>
            </w:pPr>
          </w:p>
          <w:p w:rsidR="00147494" w:rsidRPr="00147494" w:rsidRDefault="00147494" w:rsidP="00147494">
            <w:pPr>
              <w:tabs>
                <w:tab w:val="left" w:pos="904"/>
              </w:tabs>
              <w:ind w:right="40"/>
              <w:jc w:val="center"/>
              <w:rPr>
                <w:rFonts w:ascii="Times New Roman" w:eastAsia="Times New Roman" w:hAnsi="Times New Roman" w:cs="Times New Roman"/>
                <w:color w:val="FF0000"/>
                <w:sz w:val="24"/>
                <w:szCs w:val="24"/>
                <w:lang w:val="uk-UA" w:eastAsia="x-none"/>
              </w:rPr>
            </w:pPr>
          </w:p>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1696,42</w:t>
            </w:r>
          </w:p>
          <w:p w:rsidR="00147494" w:rsidRPr="00147494" w:rsidRDefault="00147494" w:rsidP="00147494">
            <w:pPr>
              <w:tabs>
                <w:tab w:val="left" w:pos="904"/>
              </w:tabs>
              <w:ind w:right="40"/>
              <w:jc w:val="both"/>
              <w:rPr>
                <w:rFonts w:ascii="Times New Roman" w:eastAsia="Times New Roman" w:hAnsi="Times New Roman" w:cs="Times New Roman"/>
                <w:color w:val="FF0000"/>
                <w:sz w:val="24"/>
                <w:szCs w:val="24"/>
                <w:lang w:val="uk-UA" w:eastAsia="x-none"/>
              </w:rPr>
            </w:pPr>
          </w:p>
          <w:p w:rsidR="00147494" w:rsidRPr="00147494" w:rsidRDefault="00147494" w:rsidP="00147494">
            <w:pPr>
              <w:jc w:val="both"/>
              <w:rPr>
                <w:rFonts w:ascii="Times New Roman" w:eastAsia="Times New Roman" w:hAnsi="Times New Roman" w:cs="Times New Roman"/>
                <w:color w:val="FF0000"/>
                <w:sz w:val="24"/>
                <w:szCs w:val="24"/>
                <w:lang w:eastAsia="ru-RU"/>
              </w:rPr>
            </w:pPr>
          </w:p>
        </w:tc>
      </w:tr>
      <w:tr w:rsidR="00147494" w:rsidRPr="00147494" w:rsidTr="00147494">
        <w:trPr>
          <w:trHeight w:val="219"/>
        </w:trPr>
        <w:tc>
          <w:tcPr>
            <w:tcW w:w="586"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5</w:t>
            </w:r>
          </w:p>
        </w:tc>
        <w:tc>
          <w:tcPr>
            <w:tcW w:w="3917" w:type="dxa"/>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Рівень поінформованості суб`єктів господарювання та/або фізичних осіб з основних положень акта,</w:t>
            </w:r>
          </w:p>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Оприлюднення прийнятого рішення:</w:t>
            </w:r>
          </w:p>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lastRenderedPageBreak/>
              <w:t>- на офіційному сайті ради;</w:t>
            </w:r>
          </w:p>
          <w:p w:rsidR="00147494" w:rsidRPr="00147494" w:rsidRDefault="00147494" w:rsidP="00147494">
            <w:pPr>
              <w:tabs>
                <w:tab w:val="left" w:pos="904"/>
              </w:tabs>
              <w:jc w:val="both"/>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t>- в районній газеті «Хрибуна хлібороба».</w:t>
            </w:r>
          </w:p>
        </w:tc>
        <w:tc>
          <w:tcPr>
            <w:tcW w:w="5551" w:type="dxa"/>
            <w:gridSpan w:val="6"/>
            <w:tcBorders>
              <w:top w:val="single" w:sz="4" w:space="0" w:color="auto"/>
              <w:left w:val="single" w:sz="4" w:space="0" w:color="auto"/>
              <w:bottom w:val="single" w:sz="4" w:space="0" w:color="auto"/>
              <w:right w:val="single" w:sz="4" w:space="0" w:color="auto"/>
            </w:tcBorders>
            <w:vAlign w:val="center"/>
            <w:hideMark/>
          </w:tcPr>
          <w:p w:rsidR="00147494" w:rsidRPr="00147494" w:rsidRDefault="00147494" w:rsidP="00147494">
            <w:pPr>
              <w:tabs>
                <w:tab w:val="left" w:pos="904"/>
              </w:tabs>
              <w:ind w:right="40"/>
              <w:jc w:val="center"/>
              <w:rPr>
                <w:rFonts w:ascii="Times New Roman" w:eastAsia="Times New Roman" w:hAnsi="Times New Roman" w:cs="Times New Roman"/>
                <w:sz w:val="24"/>
                <w:szCs w:val="24"/>
                <w:lang w:val="uk-UA" w:eastAsia="x-none"/>
              </w:rPr>
            </w:pPr>
            <w:r w:rsidRPr="00147494">
              <w:rPr>
                <w:rFonts w:ascii="Times New Roman" w:eastAsia="Times New Roman" w:hAnsi="Times New Roman" w:cs="Times New Roman"/>
                <w:sz w:val="24"/>
                <w:szCs w:val="24"/>
                <w:lang w:val="uk-UA" w:eastAsia="x-none"/>
              </w:rPr>
              <w:lastRenderedPageBreak/>
              <w:t>високий</w:t>
            </w:r>
          </w:p>
        </w:tc>
      </w:tr>
    </w:tbl>
    <w:p w:rsidR="00147494" w:rsidRPr="00147494" w:rsidRDefault="00147494" w:rsidP="00147494">
      <w:pPr>
        <w:rPr>
          <w:rFonts w:ascii="Times New Roman" w:eastAsia="Times New Roman" w:hAnsi="Times New Roman" w:cs="Times New Roman"/>
          <w:b/>
          <w:color w:val="002060"/>
          <w:sz w:val="20"/>
          <w:szCs w:val="28"/>
          <w:lang w:eastAsia="ru-RU"/>
        </w:rPr>
      </w:pPr>
    </w:p>
    <w:p w:rsidR="00147494" w:rsidRPr="00147494" w:rsidRDefault="00147494" w:rsidP="00147494">
      <w:pPr>
        <w:keepNext/>
        <w:spacing w:before="120"/>
        <w:ind w:firstLine="567"/>
        <w:jc w:val="both"/>
        <w:outlineLvl w:val="2"/>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9. Визначення заходів, за допомогою яких здійснюватиметься відстеження результативності дії регуляторного акта.</w:t>
      </w:r>
    </w:p>
    <w:p w:rsidR="00147494" w:rsidRPr="00147494" w:rsidRDefault="00147494" w:rsidP="00147494">
      <w:pPr>
        <w:widowControl w:val="0"/>
        <w:ind w:right="23"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Оцінка ефективності регуляторного акта буде здійснена за допомогою  проведення базового, повторного відстеження результативності регуляторного акта. </w:t>
      </w:r>
    </w:p>
    <w:p w:rsidR="00147494" w:rsidRPr="00147494" w:rsidRDefault="00147494" w:rsidP="00147494">
      <w:pPr>
        <w:widowControl w:val="0"/>
        <w:ind w:right="23"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Відстеження  результативності регуляторного акта буде проводитись  статистичним методом.</w:t>
      </w:r>
    </w:p>
    <w:p w:rsidR="00147494" w:rsidRPr="00147494" w:rsidRDefault="00147494" w:rsidP="00147494">
      <w:pPr>
        <w:ind w:firstLine="567"/>
        <w:jc w:val="both"/>
        <w:rPr>
          <w:rFonts w:ascii="Times New Roman" w:eastAsia="Times New Roman" w:hAnsi="Times New Roman" w:cs="Times New Roman"/>
          <w:b/>
          <w:sz w:val="26"/>
          <w:szCs w:val="26"/>
          <w:lang w:eastAsia="ru-RU"/>
        </w:rPr>
      </w:pPr>
      <w:r w:rsidRPr="00147494">
        <w:rPr>
          <w:rFonts w:ascii="Times New Roman" w:eastAsia="Times New Roman" w:hAnsi="Times New Roman" w:cs="Times New Roman"/>
          <w:b/>
          <w:sz w:val="26"/>
          <w:szCs w:val="26"/>
          <w:lang w:eastAsia="ru-RU"/>
        </w:rPr>
        <w:t>Вид даних, за допомогою яких здійснюватиметься відстеження результативності:</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eastAsia="ru-RU"/>
        </w:rPr>
        <w:t>Статистичні</w:t>
      </w:r>
      <w:r w:rsidRPr="00147494">
        <w:rPr>
          <w:rFonts w:ascii="Times New Roman" w:eastAsia="Times New Roman" w:hAnsi="Times New Roman" w:cs="Times New Roman"/>
          <w:sz w:val="26"/>
          <w:szCs w:val="26"/>
          <w:lang w:val="uk-UA" w:eastAsia="ru-RU"/>
        </w:rPr>
        <w:t>:</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 аналітичні показники </w:t>
      </w:r>
      <w:r w:rsidRPr="00147494">
        <w:rPr>
          <w:rFonts w:ascii="Times New Roman" w:eastAsia="Times New Roman" w:hAnsi="Times New Roman" w:cs="Times New Roman"/>
          <w:sz w:val="26"/>
          <w:szCs w:val="26"/>
          <w:shd w:val="clear" w:color="auto" w:fill="FFFFFF"/>
          <w:lang w:val="uk-UA" w:eastAsia="ru-RU"/>
        </w:rPr>
        <w:t>Доманівська ДПІ Южноукраїнського управління ГУ ДПС у Миколаївській області</w:t>
      </w:r>
      <w:r w:rsidRPr="00147494">
        <w:rPr>
          <w:rFonts w:ascii="Times New Roman" w:eastAsia="Times New Roman" w:hAnsi="Times New Roman" w:cs="Times New Roman"/>
          <w:sz w:val="26"/>
          <w:szCs w:val="26"/>
          <w:lang w:val="uk-UA" w:eastAsia="ru-RU"/>
        </w:rPr>
        <w:t>;</w:t>
      </w:r>
    </w:p>
    <w:p w:rsidR="00147494" w:rsidRPr="00147494" w:rsidRDefault="00147494" w:rsidP="00147494">
      <w:pPr>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інформація фінансового відділу Мостівської сільської ради.</w:t>
      </w:r>
    </w:p>
    <w:p w:rsidR="00147494" w:rsidRPr="00147494" w:rsidRDefault="00147494" w:rsidP="00147494">
      <w:pPr>
        <w:widowControl w:val="0"/>
        <w:ind w:right="23"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Базове відстеження результативності регуляторного акта буде здійснюватися до дня набрання чинності цим регуляторним актом.</w:t>
      </w:r>
    </w:p>
    <w:p w:rsidR="00147494" w:rsidRPr="00147494" w:rsidRDefault="00147494" w:rsidP="00147494">
      <w:pPr>
        <w:widowControl w:val="0"/>
        <w:ind w:right="23"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Повторне відстеження результативності регуляторного акта буде здійснюватися в період до одного року, після набрання чинності регуляторним актом.</w:t>
      </w:r>
    </w:p>
    <w:p w:rsidR="00147494" w:rsidRPr="00147494" w:rsidRDefault="00147494" w:rsidP="00147494">
      <w:pPr>
        <w:widowControl w:val="0"/>
        <w:ind w:firstLine="567"/>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У рамках статистичного методу відстеження аналіз офіційної статистичної інформації буде проводитися щодо розміру надходжень до сільського бюджету та кількості осіб, на яких поширюватиметься дія акта.</w:t>
      </w:r>
    </w:p>
    <w:p w:rsidR="00147494" w:rsidRPr="00147494" w:rsidRDefault="00147494" w:rsidP="00147494">
      <w:pPr>
        <w:ind w:firstLine="709"/>
        <w:jc w:val="both"/>
        <w:rPr>
          <w:rFonts w:ascii="Times New Roman" w:eastAsia="Times New Roman" w:hAnsi="Times New Roman" w:cs="Times New Roman"/>
          <w:b/>
          <w:sz w:val="27"/>
          <w:szCs w:val="27"/>
          <w:lang w:val="uk-UA" w:eastAsia="ru-RU"/>
        </w:rPr>
      </w:pPr>
    </w:p>
    <w:p w:rsidR="00147494" w:rsidRPr="00147494" w:rsidRDefault="00147494" w:rsidP="00147494">
      <w:pPr>
        <w:jc w:val="both"/>
        <w:rPr>
          <w:rFonts w:ascii="Times New Roman" w:eastAsia="Times New Roman" w:hAnsi="Times New Roman" w:cs="Times New Roman"/>
          <w:sz w:val="28"/>
          <w:szCs w:val="28"/>
          <w:lang w:val="uk-UA" w:eastAsia="ru-RU"/>
        </w:rPr>
      </w:pPr>
    </w:p>
    <w:p w:rsidR="00147494" w:rsidRPr="00147494" w:rsidRDefault="00147494" w:rsidP="00147494">
      <w:pPr>
        <w:jc w:val="both"/>
        <w:rPr>
          <w:rFonts w:ascii="Times New Roman" w:eastAsia="Times New Roman" w:hAnsi="Times New Roman" w:cs="Times New Roman"/>
          <w:b/>
          <w:sz w:val="24"/>
          <w:szCs w:val="24"/>
          <w:lang w:val="uk-UA" w:eastAsia="ru-RU"/>
        </w:rPr>
      </w:pPr>
      <w:r w:rsidRPr="00147494">
        <w:rPr>
          <w:rFonts w:ascii="Times New Roman" w:eastAsia="Times New Roman" w:hAnsi="Times New Roman" w:cs="Times New Roman"/>
          <w:sz w:val="28"/>
          <w:szCs w:val="28"/>
          <w:lang w:val="uk-UA" w:eastAsia="ru-RU"/>
        </w:rPr>
        <w:t>Сільський голова                                                                    Надія БАБАНСЬКА</w:t>
      </w: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jc w:val="both"/>
        <w:rPr>
          <w:rFonts w:ascii="Times New Roman" w:eastAsia="Times New Roman" w:hAnsi="Times New Roman" w:cs="Times New Roman"/>
          <w:sz w:val="20"/>
          <w:szCs w:val="20"/>
          <w:lang w:val="uk-UA" w:eastAsia="ru-RU"/>
        </w:rPr>
      </w:pPr>
      <w:bookmarkStart w:id="3" w:name="_GoBack"/>
      <w:bookmarkEnd w:id="3"/>
    </w:p>
    <w:p w:rsidR="00147494" w:rsidRPr="00147494" w:rsidRDefault="00147494" w:rsidP="00147494">
      <w:pPr>
        <w:jc w:val="both"/>
        <w:rPr>
          <w:rFonts w:ascii="Times New Roman" w:eastAsia="Times New Roman" w:hAnsi="Times New Roman" w:cs="Times New Roman"/>
          <w:sz w:val="20"/>
          <w:szCs w:val="20"/>
          <w:lang w:val="uk-UA" w:eastAsia="ru-RU"/>
        </w:rPr>
      </w:pPr>
    </w:p>
    <w:p w:rsidR="00147494" w:rsidRPr="00147494" w:rsidRDefault="00147494" w:rsidP="00147494">
      <w:pPr>
        <w:ind w:firstLine="4536"/>
        <w:rPr>
          <w:rFonts w:ascii="Times New Roman" w:eastAsia="Times New Roman" w:hAnsi="Times New Roman" w:cs="Times New Roman"/>
          <w:sz w:val="24"/>
          <w:szCs w:val="24"/>
          <w:lang w:val="uk-UA" w:eastAsia="ru-RU"/>
        </w:rPr>
      </w:pPr>
      <w:r w:rsidRPr="00147494">
        <w:rPr>
          <w:rFonts w:ascii="Times New Roman" w:eastAsia="Times New Roman" w:hAnsi="Times New Roman" w:cs="Times New Roman"/>
          <w:sz w:val="24"/>
          <w:szCs w:val="24"/>
          <w:lang w:val="uk-UA" w:eastAsia="ru-RU"/>
        </w:rPr>
        <w:lastRenderedPageBreak/>
        <w:t>Додаток 2</w:t>
      </w:r>
    </w:p>
    <w:p w:rsidR="00147494" w:rsidRPr="00147494" w:rsidRDefault="00147494" w:rsidP="00147494">
      <w:pPr>
        <w:ind w:firstLine="4536"/>
        <w:rPr>
          <w:rFonts w:ascii="Times New Roman" w:eastAsia="Times New Roman" w:hAnsi="Times New Roman" w:cs="Times New Roman"/>
          <w:bCs/>
          <w:sz w:val="24"/>
          <w:szCs w:val="24"/>
          <w:lang w:val="uk-UA" w:eastAsia="ru-RU"/>
        </w:rPr>
      </w:pPr>
      <w:r w:rsidRPr="00147494">
        <w:rPr>
          <w:rFonts w:ascii="Times New Roman" w:eastAsia="Times New Roman" w:hAnsi="Times New Roman" w:cs="Times New Roman"/>
          <w:sz w:val="24"/>
          <w:szCs w:val="24"/>
          <w:lang w:val="uk-UA" w:eastAsia="ru-RU"/>
        </w:rPr>
        <w:t xml:space="preserve"> </w:t>
      </w:r>
      <w:r w:rsidRPr="00147494">
        <w:rPr>
          <w:rFonts w:ascii="Times New Roman" w:eastAsia="Times New Roman" w:hAnsi="Times New Roman" w:cs="Times New Roman"/>
          <w:bCs/>
          <w:sz w:val="24"/>
          <w:szCs w:val="24"/>
          <w:lang w:val="uk-UA" w:eastAsia="ru-RU"/>
        </w:rPr>
        <w:t xml:space="preserve">до аналізу регуляторного впливу </w:t>
      </w:r>
    </w:p>
    <w:p w:rsidR="00147494" w:rsidRPr="00147494" w:rsidRDefault="00147494" w:rsidP="00147494">
      <w:pPr>
        <w:ind w:firstLine="4536"/>
        <w:rPr>
          <w:rFonts w:ascii="Times New Roman" w:eastAsia="Times New Roman" w:hAnsi="Times New Roman" w:cs="Times New Roman"/>
          <w:bCs/>
          <w:sz w:val="24"/>
          <w:szCs w:val="24"/>
          <w:lang w:val="uk-UA" w:eastAsia="ru-RU"/>
        </w:rPr>
      </w:pPr>
      <w:r w:rsidRPr="00147494">
        <w:rPr>
          <w:rFonts w:ascii="Times New Roman" w:eastAsia="Times New Roman" w:hAnsi="Times New Roman" w:cs="Times New Roman"/>
          <w:bCs/>
          <w:sz w:val="24"/>
          <w:szCs w:val="24"/>
          <w:lang w:val="uk-UA" w:eastAsia="ru-RU"/>
        </w:rPr>
        <w:t xml:space="preserve">проєкту рішення Мостівської сільської ради </w:t>
      </w:r>
    </w:p>
    <w:p w:rsidR="00147494" w:rsidRPr="00147494" w:rsidRDefault="00147494" w:rsidP="00147494">
      <w:pPr>
        <w:ind w:firstLine="4536"/>
        <w:rPr>
          <w:rFonts w:ascii="Times New Roman" w:eastAsia="Times New Roman" w:hAnsi="Times New Roman" w:cs="Times New Roman"/>
          <w:noProof/>
          <w:sz w:val="24"/>
          <w:szCs w:val="24"/>
          <w:lang w:val="uk-UA" w:eastAsia="ru-RU"/>
        </w:rPr>
      </w:pPr>
      <w:r w:rsidRPr="00147494">
        <w:rPr>
          <w:rFonts w:ascii="Times New Roman" w:eastAsia="Times New Roman" w:hAnsi="Times New Roman" w:cs="Times New Roman"/>
          <w:bCs/>
          <w:sz w:val="24"/>
          <w:szCs w:val="24"/>
          <w:lang w:val="uk-UA" w:eastAsia="ru-RU"/>
        </w:rPr>
        <w:t>«</w:t>
      </w:r>
      <w:r w:rsidRPr="00147494">
        <w:rPr>
          <w:rFonts w:ascii="Times New Roman" w:eastAsia="Times New Roman" w:hAnsi="Times New Roman" w:cs="Times New Roman"/>
          <w:noProof/>
          <w:sz w:val="24"/>
          <w:szCs w:val="24"/>
          <w:lang w:val="uk-UA" w:eastAsia="ru-RU"/>
        </w:rPr>
        <w:t>Про встановлення ставок місцевих податків</w:t>
      </w:r>
    </w:p>
    <w:p w:rsidR="00147494" w:rsidRPr="00147494" w:rsidRDefault="00147494" w:rsidP="00147494">
      <w:pPr>
        <w:ind w:firstLine="4536"/>
        <w:rPr>
          <w:rFonts w:ascii="Times New Roman" w:eastAsia="Times New Roman" w:hAnsi="Times New Roman" w:cs="Times New Roman"/>
          <w:noProof/>
          <w:sz w:val="24"/>
          <w:szCs w:val="24"/>
          <w:lang w:val="uk-UA" w:eastAsia="ru-RU"/>
        </w:rPr>
      </w:pPr>
      <w:r w:rsidRPr="00147494">
        <w:rPr>
          <w:rFonts w:ascii="Times New Roman" w:eastAsia="Times New Roman" w:hAnsi="Times New Roman" w:cs="Times New Roman"/>
          <w:noProof/>
          <w:sz w:val="24"/>
          <w:szCs w:val="24"/>
          <w:lang w:val="uk-UA" w:eastAsia="ru-RU"/>
        </w:rPr>
        <w:t xml:space="preserve">та зборів на території населених пунктів   </w:t>
      </w:r>
    </w:p>
    <w:p w:rsidR="00147494" w:rsidRPr="00147494" w:rsidRDefault="00147494" w:rsidP="00147494">
      <w:pPr>
        <w:ind w:firstLine="4536"/>
        <w:rPr>
          <w:rFonts w:ascii="Times New Roman" w:eastAsia="Times New Roman" w:hAnsi="Times New Roman" w:cs="Times New Roman"/>
          <w:noProof/>
          <w:sz w:val="24"/>
          <w:szCs w:val="24"/>
          <w:lang w:val="uk-UA" w:eastAsia="ru-RU"/>
        </w:rPr>
      </w:pPr>
      <w:r w:rsidRPr="00147494">
        <w:rPr>
          <w:rFonts w:ascii="Times New Roman" w:eastAsia="Times New Roman" w:hAnsi="Times New Roman" w:cs="Times New Roman"/>
          <w:noProof/>
          <w:sz w:val="24"/>
          <w:szCs w:val="24"/>
          <w:lang w:val="uk-UA" w:eastAsia="ru-RU"/>
        </w:rPr>
        <w:t xml:space="preserve">Мостівської сільської ради  </w:t>
      </w:r>
      <w:r w:rsidRPr="00147494">
        <w:rPr>
          <w:rFonts w:ascii="Times New Roman" w:eastAsia="Times New Roman" w:hAnsi="Times New Roman" w:cs="Times New Roman"/>
          <w:sz w:val="20"/>
          <w:szCs w:val="20"/>
          <w:lang w:val="uk-UA" w:eastAsia="ru-RU"/>
        </w:rPr>
        <w:t xml:space="preserve"> </w:t>
      </w:r>
      <w:r w:rsidRPr="00147494">
        <w:rPr>
          <w:rFonts w:ascii="Times New Roman" w:eastAsia="Times New Roman" w:hAnsi="Times New Roman" w:cs="Times New Roman"/>
          <w:noProof/>
          <w:sz w:val="24"/>
          <w:szCs w:val="24"/>
          <w:lang w:val="uk-UA" w:eastAsia="ru-RU"/>
        </w:rPr>
        <w:t>на 2022 рік</w:t>
      </w:r>
      <w:r w:rsidRPr="00147494">
        <w:rPr>
          <w:rFonts w:ascii="Times New Roman" w:eastAsia="Times New Roman" w:hAnsi="Times New Roman" w:cs="Times New Roman"/>
          <w:bCs/>
          <w:sz w:val="24"/>
          <w:szCs w:val="24"/>
          <w:lang w:val="uk-UA" w:eastAsia="ru-RU"/>
        </w:rPr>
        <w:t>»</w:t>
      </w:r>
    </w:p>
    <w:p w:rsidR="00147494" w:rsidRPr="00147494" w:rsidRDefault="00147494" w:rsidP="00147494">
      <w:pPr>
        <w:jc w:val="right"/>
        <w:rPr>
          <w:rFonts w:ascii="Times New Roman" w:eastAsia="Times New Roman" w:hAnsi="Times New Roman" w:cs="Times New Roman"/>
          <w:sz w:val="24"/>
          <w:szCs w:val="24"/>
          <w:lang w:val="uk-UA" w:eastAsia="ru-RU"/>
        </w:rPr>
      </w:pPr>
    </w:p>
    <w:p w:rsidR="00147494" w:rsidRPr="00147494" w:rsidRDefault="00147494" w:rsidP="00147494">
      <w:pPr>
        <w:jc w:val="right"/>
        <w:rPr>
          <w:rFonts w:ascii="Times New Roman" w:eastAsia="Times New Roman" w:hAnsi="Times New Roman" w:cs="Times New Roman"/>
          <w:sz w:val="20"/>
          <w:szCs w:val="20"/>
          <w:lang w:val="uk-UA" w:eastAsia="ru-RU"/>
        </w:rPr>
      </w:pPr>
    </w:p>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ТЕСТ</w:t>
      </w:r>
    </w:p>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Малого підприємництва (М-тест)</w:t>
      </w:r>
    </w:p>
    <w:p w:rsidR="00147494" w:rsidRPr="00147494" w:rsidRDefault="00147494" w:rsidP="00147494">
      <w:pPr>
        <w:jc w:val="center"/>
        <w:rPr>
          <w:rFonts w:ascii="Times New Roman" w:eastAsia="Times New Roman" w:hAnsi="Times New Roman" w:cs="Times New Roman"/>
          <w:b/>
          <w:sz w:val="26"/>
          <w:szCs w:val="26"/>
          <w:lang w:val="uk-UA" w:eastAsia="ru-RU"/>
        </w:rPr>
      </w:pPr>
    </w:p>
    <w:p w:rsidR="00147494" w:rsidRPr="00147494" w:rsidRDefault="00147494" w:rsidP="00147494">
      <w:pPr>
        <w:ind w:firstLine="851"/>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1. Консультації з представниками мікро- та малого підприємництва щодо оцінки впливу регулювання.</w:t>
      </w:r>
    </w:p>
    <w:p w:rsidR="00147494" w:rsidRPr="00147494" w:rsidRDefault="00147494" w:rsidP="00147494">
      <w:pPr>
        <w:ind w:firstLine="851"/>
        <w:rPr>
          <w:rFonts w:ascii="Times New Roman" w:eastAsia="Times New Roman" w:hAnsi="Times New Roman" w:cs="Times New Roman"/>
          <w:b/>
          <w:sz w:val="28"/>
          <w:szCs w:val="28"/>
          <w:lang w:val="uk-UA" w:eastAsia="ru-RU"/>
        </w:rPr>
      </w:pPr>
    </w:p>
    <w:p w:rsidR="00147494" w:rsidRPr="00147494" w:rsidRDefault="00147494" w:rsidP="00147494">
      <w:pPr>
        <w:ind w:firstLine="851"/>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Консультації щодо визначення впливу запропонованого регулювання на суб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w:t>
      </w:r>
      <w:r w:rsidRPr="00147494">
        <w:rPr>
          <w:rFonts w:ascii="Times New Roman" w:eastAsia="Times New Roman" w:hAnsi="Times New Roman" w:cs="Times New Roman"/>
          <w:noProof/>
          <w:sz w:val="26"/>
          <w:szCs w:val="26"/>
          <w:lang w:val="uk-UA" w:eastAsia="ru-RU"/>
        </w:rPr>
        <w:t xml:space="preserve"> березня 2021 року по 09 квітня 2021 року.</w:t>
      </w:r>
    </w:p>
    <w:p w:rsidR="00147494" w:rsidRPr="00147494" w:rsidRDefault="00147494" w:rsidP="00147494">
      <w:pPr>
        <w:ind w:firstLine="851"/>
        <w:rPr>
          <w:rFonts w:ascii="Times New Roman" w:eastAsia="Times New Roman" w:hAnsi="Times New Roman" w:cs="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3758"/>
        <w:gridCol w:w="1869"/>
        <w:gridCol w:w="2259"/>
      </w:tblGrid>
      <w:tr w:rsidR="00147494" w:rsidRPr="00147494" w:rsidTr="00147494">
        <w:tc>
          <w:tcPr>
            <w:tcW w:w="15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Порядковий номер</w:t>
            </w:r>
          </w:p>
        </w:tc>
        <w:tc>
          <w:tcPr>
            <w:tcW w:w="39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79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Кількість учасників консультацій, осіб</w:t>
            </w:r>
          </w:p>
        </w:tc>
        <w:tc>
          <w:tcPr>
            <w:tcW w:w="227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Основні результати консультацій</w:t>
            </w:r>
          </w:p>
        </w:tc>
      </w:tr>
      <w:tr w:rsidR="00147494" w:rsidRPr="00147494" w:rsidTr="00147494">
        <w:tc>
          <w:tcPr>
            <w:tcW w:w="15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Робочі наради та зустрічі</w:t>
            </w:r>
          </w:p>
        </w:tc>
        <w:tc>
          <w:tcPr>
            <w:tcW w:w="179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c>
          <w:tcPr>
            <w:tcW w:w="227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Обговорено запропоновані ставки податків. Отримано інформацію від представників малого бізнесу щодо необхідних ресурсів (витрат часу та матеріальних витрат) на запровадження регулювання</w:t>
            </w:r>
          </w:p>
        </w:tc>
      </w:tr>
      <w:tr w:rsidR="00147494" w:rsidRPr="00147494" w:rsidTr="00147494">
        <w:tc>
          <w:tcPr>
            <w:tcW w:w="1574"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c>
          <w:tcPr>
            <w:tcW w:w="392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Телефонні консультації</w:t>
            </w:r>
          </w:p>
        </w:tc>
        <w:tc>
          <w:tcPr>
            <w:tcW w:w="179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8</w:t>
            </w:r>
          </w:p>
        </w:tc>
        <w:tc>
          <w:tcPr>
            <w:tcW w:w="227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Обговорено ставки податку та вирішено залишити розміри ставок на рівні запропонованих</w:t>
            </w:r>
          </w:p>
        </w:tc>
      </w:tr>
    </w:tbl>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lastRenderedPageBreak/>
        <w:t>2. Вимірювання впливу регулювання на суб</w:t>
      </w:r>
      <w:r w:rsidRPr="00147494">
        <w:rPr>
          <w:rFonts w:ascii="Times New Roman" w:eastAsia="Times New Roman" w:hAnsi="Times New Roman" w:cs="Times New Roman"/>
          <w:b/>
          <w:sz w:val="26"/>
          <w:szCs w:val="26"/>
          <w:lang w:eastAsia="ru-RU"/>
        </w:rPr>
        <w:t>’</w:t>
      </w:r>
      <w:r w:rsidRPr="00147494">
        <w:rPr>
          <w:rFonts w:ascii="Times New Roman" w:eastAsia="Times New Roman" w:hAnsi="Times New Roman" w:cs="Times New Roman"/>
          <w:b/>
          <w:sz w:val="26"/>
          <w:szCs w:val="26"/>
          <w:lang w:val="uk-UA" w:eastAsia="ru-RU"/>
        </w:rPr>
        <w:t>єктів малого підприємництва (мікро- та малі):</w:t>
      </w:r>
    </w:p>
    <w:p w:rsidR="00147494" w:rsidRPr="00147494" w:rsidRDefault="00147494" w:rsidP="00147494">
      <w:pPr>
        <w:ind w:firstLine="851"/>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кількість суб’єктів малого підприємництва, на яких поширюється регулювання: 167 (одиниць), у тому числі малого підприємництва 7 (одиниць) та мікропідприємництва 160 (одиниць).</w:t>
      </w:r>
    </w:p>
    <w:p w:rsidR="00147494" w:rsidRPr="00147494" w:rsidRDefault="00147494" w:rsidP="00147494">
      <w:pPr>
        <w:ind w:firstLine="851"/>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Pr="00147494">
        <w:rPr>
          <w:rFonts w:ascii="Times New Roman" w:eastAsia="Times New Roman" w:hAnsi="Times New Roman" w:cs="Times New Roman"/>
          <w:b/>
          <w:sz w:val="26"/>
          <w:szCs w:val="26"/>
          <w:u w:val="single"/>
          <w:lang w:val="uk-UA" w:eastAsia="ru-RU"/>
        </w:rPr>
        <w:t>100%</w:t>
      </w:r>
      <w:r w:rsidRPr="00147494">
        <w:rPr>
          <w:rFonts w:ascii="Times New Roman" w:eastAsia="Times New Roman" w:hAnsi="Times New Roman" w:cs="Times New Roman"/>
          <w:sz w:val="26"/>
          <w:szCs w:val="26"/>
          <w:lang w:val="uk-UA" w:eastAsia="ru-RU"/>
        </w:rPr>
        <w:t xml:space="preserve"> (відсотків).</w:t>
      </w:r>
    </w:p>
    <w:p w:rsidR="00147494" w:rsidRPr="00147494" w:rsidRDefault="00147494" w:rsidP="00147494">
      <w:pPr>
        <w:ind w:firstLine="851"/>
        <w:jc w:val="both"/>
        <w:rPr>
          <w:rFonts w:ascii="Times New Roman" w:eastAsia="Times New Roman" w:hAnsi="Times New Roman" w:cs="Times New Roman"/>
          <w:sz w:val="26"/>
          <w:szCs w:val="26"/>
          <w:lang w:val="uk-UA" w:eastAsia="ru-RU"/>
        </w:rPr>
      </w:pP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3. Розрахунок витрат суб</w:t>
      </w:r>
      <w:r w:rsidRPr="00147494">
        <w:rPr>
          <w:rFonts w:ascii="Times New Roman" w:eastAsia="Times New Roman" w:hAnsi="Times New Roman" w:cs="Times New Roman"/>
          <w:b/>
          <w:sz w:val="26"/>
          <w:szCs w:val="26"/>
          <w:lang w:eastAsia="ru-RU"/>
        </w:rPr>
        <w:t>’</w:t>
      </w:r>
      <w:r w:rsidRPr="00147494">
        <w:rPr>
          <w:rFonts w:ascii="Times New Roman" w:eastAsia="Times New Roman" w:hAnsi="Times New Roman" w:cs="Times New Roman"/>
          <w:b/>
          <w:sz w:val="26"/>
          <w:szCs w:val="26"/>
          <w:lang w:val="uk-UA" w:eastAsia="ru-RU"/>
        </w:rPr>
        <w:t>єктів малого підприємництва на виконання вимог регулювання.</w:t>
      </w: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701"/>
        <w:gridCol w:w="142"/>
        <w:gridCol w:w="1559"/>
        <w:gridCol w:w="1241"/>
      </w:tblGrid>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rPr>
                <w:rFonts w:ascii="Times New Roman" w:eastAsia="Times New Roman" w:hAnsi="Times New Roman" w:cs="Times New Roman"/>
                <w:b/>
                <w:sz w:val="24"/>
                <w:szCs w:val="24"/>
                <w:lang w:val="uk-UA" w:eastAsia="ru-RU"/>
              </w:rPr>
            </w:pPr>
            <w:r w:rsidRPr="00147494">
              <w:rPr>
                <w:rFonts w:ascii="Times New Roman" w:eastAsia="Times New Roman" w:hAnsi="Times New Roman" w:cs="Times New Roman"/>
                <w:b/>
                <w:sz w:val="24"/>
                <w:szCs w:val="24"/>
                <w:lang w:val="uk-UA" w:eastAsia="ru-RU"/>
              </w:rPr>
              <w:t>Порядковий номер</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4"/>
                <w:szCs w:val="24"/>
                <w:lang w:val="uk-UA" w:eastAsia="ru-RU"/>
              </w:rPr>
            </w:pPr>
            <w:r w:rsidRPr="00147494">
              <w:rPr>
                <w:rFonts w:ascii="Times New Roman" w:eastAsia="Times New Roman" w:hAnsi="Times New Roman" w:cs="Times New Roman"/>
                <w:b/>
                <w:sz w:val="24"/>
                <w:szCs w:val="24"/>
                <w:lang w:val="uk-UA" w:eastAsia="ru-RU"/>
              </w:rPr>
              <w:t>Найменування оцінки</w:t>
            </w:r>
          </w:p>
        </w:tc>
        <w:tc>
          <w:tcPr>
            <w:tcW w:w="1843"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4"/>
                <w:szCs w:val="24"/>
                <w:lang w:val="uk-UA" w:eastAsia="ru-RU"/>
              </w:rPr>
            </w:pPr>
            <w:r w:rsidRPr="00147494">
              <w:rPr>
                <w:rFonts w:ascii="Times New Roman" w:eastAsia="Times New Roman" w:hAnsi="Times New Roman" w:cs="Times New Roman"/>
                <w:b/>
                <w:sz w:val="24"/>
                <w:szCs w:val="24"/>
                <w:lang w:val="uk-UA" w:eastAsia="ru-RU"/>
              </w:rPr>
              <w:t>У перший рік (стартовий рік впровадження регулювання)</w:t>
            </w:r>
          </w:p>
        </w:tc>
        <w:tc>
          <w:tcPr>
            <w:tcW w:w="1559"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4"/>
                <w:szCs w:val="24"/>
                <w:lang w:val="uk-UA" w:eastAsia="ru-RU"/>
              </w:rPr>
            </w:pPr>
            <w:r w:rsidRPr="00147494">
              <w:rPr>
                <w:rFonts w:ascii="Times New Roman" w:eastAsia="Times New Roman" w:hAnsi="Times New Roman" w:cs="Times New Roman"/>
                <w:b/>
                <w:sz w:val="24"/>
                <w:szCs w:val="24"/>
                <w:lang w:val="uk-UA" w:eastAsia="ru-RU"/>
              </w:rPr>
              <w:t>Періодичні (за наступний рік)</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4"/>
                <w:szCs w:val="24"/>
                <w:lang w:val="uk-UA" w:eastAsia="ru-RU"/>
              </w:rPr>
            </w:pPr>
            <w:r w:rsidRPr="00147494">
              <w:rPr>
                <w:rFonts w:ascii="Times New Roman" w:eastAsia="Times New Roman" w:hAnsi="Times New Roman" w:cs="Times New Roman"/>
                <w:b/>
                <w:sz w:val="24"/>
                <w:szCs w:val="24"/>
                <w:lang w:val="uk-UA" w:eastAsia="ru-RU"/>
              </w:rPr>
              <w:t>Витрати на п</w:t>
            </w:r>
            <w:r w:rsidRPr="00147494">
              <w:rPr>
                <w:rFonts w:ascii="Times New Roman" w:eastAsia="Times New Roman" w:hAnsi="Times New Roman" w:cs="Times New Roman"/>
                <w:b/>
                <w:sz w:val="24"/>
                <w:szCs w:val="24"/>
                <w:lang w:eastAsia="ru-RU"/>
              </w:rPr>
              <w:t>’</w:t>
            </w:r>
            <w:r w:rsidRPr="00147494">
              <w:rPr>
                <w:rFonts w:ascii="Times New Roman" w:eastAsia="Times New Roman" w:hAnsi="Times New Roman" w:cs="Times New Roman"/>
                <w:b/>
                <w:sz w:val="24"/>
                <w:szCs w:val="24"/>
                <w:lang w:val="uk-UA" w:eastAsia="ru-RU"/>
              </w:rPr>
              <w:t>ять років</w:t>
            </w:r>
          </w:p>
        </w:tc>
      </w:tr>
      <w:tr w:rsidR="00147494" w:rsidRPr="00147494" w:rsidTr="00147494">
        <w:tc>
          <w:tcPr>
            <w:tcW w:w="9571" w:type="dxa"/>
            <w:gridSpan w:val="6"/>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ind w:firstLine="851"/>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Оцінка «прямих» витрат суб</w:t>
            </w:r>
            <w:r w:rsidRPr="00147494">
              <w:rPr>
                <w:rFonts w:ascii="Times New Roman" w:eastAsia="Times New Roman" w:hAnsi="Times New Roman" w:cs="Times New Roman"/>
                <w:b/>
                <w:sz w:val="26"/>
                <w:szCs w:val="26"/>
                <w:lang w:eastAsia="ru-RU"/>
              </w:rPr>
              <w:t>’</w:t>
            </w:r>
            <w:r w:rsidRPr="00147494">
              <w:rPr>
                <w:rFonts w:ascii="Times New Roman" w:eastAsia="Times New Roman" w:hAnsi="Times New Roman" w:cs="Times New Roman"/>
                <w:b/>
                <w:sz w:val="26"/>
                <w:szCs w:val="26"/>
                <w:lang w:val="uk-UA" w:eastAsia="ru-RU"/>
              </w:rPr>
              <w:t>єктів малого підприємництва на виконання регулювання</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Придбання необхідного обладнання (пристроїв,</w:t>
            </w:r>
          </w:p>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 машин, механізмів)</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0 </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експлуатації обладнання (експлуатаційні витрати – витратні матеріали)</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обслуговування обладнання (технічне обслуговування)</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5</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Інші процедури (сплата податків та зборів, визначених рішенням сільської  ради на 2022 рік), гривень</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10091,02</w:t>
            </w:r>
          </w:p>
          <w:p w:rsidR="00147494" w:rsidRPr="00147494" w:rsidRDefault="00147494" w:rsidP="00147494">
            <w:pPr>
              <w:jc w:val="both"/>
              <w:rPr>
                <w:rFonts w:ascii="Times New Roman" w:eastAsia="Times New Roman" w:hAnsi="Times New Roman" w:cs="Times New Roman"/>
                <w:b/>
                <w:sz w:val="20"/>
                <w:szCs w:val="20"/>
                <w:lang w:val="uk-UA" w:eastAsia="ru-RU"/>
              </w:rPr>
            </w:pPr>
            <w:r w:rsidRPr="00147494">
              <w:rPr>
                <w:rFonts w:ascii="Times New Roman" w:eastAsia="Times New Roman" w:hAnsi="Times New Roman" w:cs="Times New Roman"/>
                <w:sz w:val="20"/>
                <w:szCs w:val="20"/>
                <w:lang w:val="uk-UA" w:eastAsia="ru-RU"/>
              </w:rPr>
              <w:t>(розрахункова середня сума сплати податків одним суб</w:t>
            </w:r>
            <w:r w:rsidRPr="00147494">
              <w:rPr>
                <w:rFonts w:ascii="Times New Roman" w:eastAsia="Times New Roman" w:hAnsi="Times New Roman" w:cs="Times New Roman"/>
                <w:sz w:val="20"/>
                <w:szCs w:val="20"/>
                <w:lang w:eastAsia="ru-RU"/>
              </w:rPr>
              <w:t>’</w:t>
            </w:r>
            <w:r w:rsidRPr="00147494">
              <w:rPr>
                <w:rFonts w:ascii="Times New Roman" w:eastAsia="Times New Roman" w:hAnsi="Times New Roman" w:cs="Times New Roman"/>
                <w:sz w:val="20"/>
                <w:szCs w:val="20"/>
                <w:lang w:val="uk-UA" w:eastAsia="ru-RU"/>
              </w:rPr>
              <w:t>єктом малого підприємництва за умови встановлення ставок згідно запропонованого проєкту)</w:t>
            </w:r>
          </w:p>
        </w:tc>
        <w:tc>
          <w:tcPr>
            <w:tcW w:w="1701" w:type="dxa"/>
            <w:gridSpan w:val="2"/>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rFonts w:ascii="Times New Roman" w:eastAsia="Times New Roman" w:hAnsi="Times New Roman" w:cs="Times New Roman"/>
                <w:sz w:val="26"/>
                <w:szCs w:val="26"/>
                <w:lang w:val="uk-UA" w:eastAsia="ru-RU"/>
              </w:rPr>
            </w:pPr>
          </w:p>
        </w:tc>
        <w:tc>
          <w:tcPr>
            <w:tcW w:w="1241"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rFonts w:ascii="Times New Roman" w:eastAsia="Times New Roman" w:hAnsi="Times New Roman" w:cs="Times New Roman"/>
                <w:sz w:val="26"/>
                <w:szCs w:val="26"/>
                <w:lang w:val="uk-UA" w:eastAsia="ru-RU"/>
              </w:rPr>
            </w:pP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Разом, гривень (сума рядків 1+2+3+4+5)</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10091,02</w:t>
            </w:r>
          </w:p>
        </w:tc>
        <w:tc>
          <w:tcPr>
            <w:tcW w:w="1701" w:type="dxa"/>
            <w:gridSpan w:val="2"/>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rFonts w:ascii="Times New Roman" w:eastAsia="Times New Roman" w:hAnsi="Times New Roman" w:cs="Times New Roman"/>
                <w:sz w:val="26"/>
                <w:szCs w:val="26"/>
                <w:lang w:val="uk-UA" w:eastAsia="ru-RU"/>
              </w:rPr>
            </w:pPr>
          </w:p>
        </w:tc>
        <w:tc>
          <w:tcPr>
            <w:tcW w:w="1241"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rFonts w:ascii="Times New Roman" w:eastAsia="Times New Roman" w:hAnsi="Times New Roman" w:cs="Times New Roman"/>
                <w:sz w:val="26"/>
                <w:szCs w:val="26"/>
                <w:lang w:val="uk-UA" w:eastAsia="ru-RU"/>
              </w:rPr>
            </w:pP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7</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Кількість суб’єктів господарювання, що повинні виконати вимоги регулювання, одиниць</w:t>
            </w:r>
          </w:p>
        </w:tc>
        <w:tc>
          <w:tcPr>
            <w:tcW w:w="4643" w:type="dxa"/>
            <w:gridSpan w:val="4"/>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167</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lastRenderedPageBreak/>
              <w:t>8</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Сумарно, гривень</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1685200,34</w:t>
            </w:r>
          </w:p>
        </w:tc>
        <w:tc>
          <w:tcPr>
            <w:tcW w:w="1701" w:type="dxa"/>
            <w:gridSpan w:val="2"/>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rFonts w:ascii="Times New Roman" w:eastAsia="Times New Roman" w:hAnsi="Times New Roman" w:cs="Times New Roman"/>
                <w:b/>
                <w:sz w:val="26"/>
                <w:szCs w:val="26"/>
                <w:lang w:val="uk-UA" w:eastAsia="ru-RU"/>
              </w:rPr>
            </w:pPr>
          </w:p>
        </w:tc>
        <w:tc>
          <w:tcPr>
            <w:tcW w:w="1241" w:type="dxa"/>
            <w:tcBorders>
              <w:top w:val="single" w:sz="4" w:space="0" w:color="auto"/>
              <w:left w:val="single" w:sz="4" w:space="0" w:color="auto"/>
              <w:bottom w:val="single" w:sz="4" w:space="0" w:color="auto"/>
              <w:right w:val="single" w:sz="4" w:space="0" w:color="auto"/>
            </w:tcBorders>
          </w:tcPr>
          <w:p w:rsidR="00147494" w:rsidRPr="00147494" w:rsidRDefault="00147494" w:rsidP="00147494">
            <w:pPr>
              <w:jc w:val="both"/>
              <w:rPr>
                <w:rFonts w:ascii="Times New Roman" w:eastAsia="Times New Roman" w:hAnsi="Times New Roman" w:cs="Times New Roman"/>
                <w:b/>
                <w:sz w:val="26"/>
                <w:szCs w:val="26"/>
                <w:lang w:val="uk-UA" w:eastAsia="ru-RU"/>
              </w:rPr>
            </w:pPr>
          </w:p>
        </w:tc>
      </w:tr>
      <w:tr w:rsidR="00147494" w:rsidRPr="00147494" w:rsidTr="00147494">
        <w:tc>
          <w:tcPr>
            <w:tcW w:w="9571" w:type="dxa"/>
            <w:gridSpan w:val="6"/>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
                <w:noProof/>
                <w:sz w:val="26"/>
                <w:szCs w:val="26"/>
                <w:lang w:val="uk-UA" w:eastAsia="ru-RU"/>
              </w:rPr>
            </w:pPr>
            <w:r w:rsidRPr="00147494">
              <w:rPr>
                <w:rFonts w:ascii="Times New Roman" w:eastAsia="Times New Roman" w:hAnsi="Times New Roman" w:cs="Times New Roman"/>
                <w:b/>
                <w:noProof/>
                <w:sz w:val="26"/>
                <w:szCs w:val="26"/>
                <w:lang w:val="uk-UA" w:eastAsia="ru-RU"/>
              </w:rPr>
              <w:t>Оцінка вартості адміністративних процедур суб’єктів малого підприємництва щодо виконання регулювання та звітування</w:t>
            </w:r>
          </w:p>
          <w:p w:rsidR="00147494" w:rsidRPr="00147494" w:rsidRDefault="00147494" w:rsidP="00147494">
            <w:pPr>
              <w:jc w:val="center"/>
              <w:rPr>
                <w:rFonts w:ascii="Times New Roman" w:eastAsia="Times New Roman" w:hAnsi="Times New Roman" w:cs="Times New Roman"/>
                <w:noProof/>
                <w:sz w:val="26"/>
                <w:szCs w:val="26"/>
                <w:lang w:val="uk-UA" w:eastAsia="ru-RU"/>
              </w:rPr>
            </w:pPr>
            <w:r w:rsidRPr="00147494">
              <w:rPr>
                <w:rFonts w:ascii="Times New Roman" w:eastAsia="Times New Roman" w:hAnsi="Times New Roman" w:cs="Times New Roman"/>
                <w:noProof/>
                <w:sz w:val="26"/>
                <w:szCs w:val="26"/>
                <w:lang w:val="uk-UA" w:eastAsia="ru-RU"/>
              </w:rPr>
              <w:t>(Для розрахунку вартості 1 людино-години використовується мінімальна заробітна плата , що згідно прогнозу у 2022 році становитиме 6700 грн та у погодинному розмірі 40,36 грн, відповідно до Бюджетної резолюції затвердженої Кабінетом Міністрів України)</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9</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отримання первинної інформації про вимоги регулювання</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noProof/>
                <w:sz w:val="26"/>
                <w:szCs w:val="26"/>
                <w:lang w:val="uk-UA" w:eastAsia="ru-RU"/>
              </w:rPr>
            </w:pPr>
            <w:r w:rsidRPr="00147494">
              <w:rPr>
                <w:rFonts w:ascii="Times New Roman" w:eastAsia="Times New Roman" w:hAnsi="Times New Roman" w:cs="Times New Roman"/>
                <w:noProof/>
                <w:sz w:val="26"/>
                <w:szCs w:val="26"/>
                <w:lang w:val="uk-UA" w:eastAsia="ru-RU"/>
              </w:rPr>
              <w:t xml:space="preserve">0,5год*40,36 грн=20,18 </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10</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виконання вимог регулювання</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noProof/>
                <w:sz w:val="26"/>
                <w:szCs w:val="26"/>
                <w:lang w:val="uk-UA" w:eastAsia="ru-RU"/>
              </w:rPr>
            </w:pPr>
            <w:r w:rsidRPr="00147494">
              <w:rPr>
                <w:rFonts w:ascii="Times New Roman" w:eastAsia="Times New Roman" w:hAnsi="Times New Roman" w:cs="Times New Roman"/>
                <w:noProof/>
                <w:sz w:val="26"/>
                <w:szCs w:val="26"/>
                <w:lang w:val="uk-UA" w:eastAsia="ru-RU"/>
              </w:rPr>
              <w:t xml:space="preserve">0,5 год*40,36 грн=20,18 </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11</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офіційного звітування</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noProof/>
                <w:sz w:val="26"/>
                <w:szCs w:val="26"/>
                <w:lang w:val="uk-UA" w:eastAsia="ru-RU"/>
              </w:rPr>
            </w:pPr>
            <w:r w:rsidRPr="00147494">
              <w:rPr>
                <w:rFonts w:ascii="Times New Roman" w:eastAsia="Times New Roman" w:hAnsi="Times New Roman" w:cs="Times New Roman"/>
                <w:noProof/>
                <w:sz w:val="26"/>
                <w:szCs w:val="26"/>
                <w:lang w:val="uk-UA" w:eastAsia="ru-RU"/>
              </w:rPr>
              <w:t>1год*40,36 грн=40,36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12</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Процедури щодо забезпечення процесу перевірок</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13</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Інші процедури</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14</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Разом, гривень</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80,72 </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15</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Кількість суб’єктів малого підпрємництва, що повинні виконати вимоги регулювання, одиниць</w:t>
            </w:r>
          </w:p>
        </w:tc>
        <w:tc>
          <w:tcPr>
            <w:tcW w:w="4643" w:type="dxa"/>
            <w:gridSpan w:val="4"/>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139</w:t>
            </w:r>
          </w:p>
        </w:tc>
      </w:tr>
      <w:tr w:rsidR="00147494" w:rsidRPr="00147494" w:rsidTr="00147494">
        <w:tc>
          <w:tcPr>
            <w:tcW w:w="1668"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16</w:t>
            </w:r>
          </w:p>
        </w:tc>
        <w:tc>
          <w:tcPr>
            <w:tcW w:w="326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Сумарно, гривень</w:t>
            </w:r>
          </w:p>
        </w:tc>
        <w:tc>
          <w:tcPr>
            <w:tcW w:w="170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11220,08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0</w:t>
            </w:r>
          </w:p>
        </w:tc>
        <w:tc>
          <w:tcPr>
            <w:tcW w:w="1241"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0</w:t>
            </w:r>
          </w:p>
        </w:tc>
      </w:tr>
    </w:tbl>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p w:rsidR="00147494" w:rsidRPr="00147494" w:rsidRDefault="00147494" w:rsidP="00147494">
      <w:pPr>
        <w:ind w:firstLine="851"/>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БЮДЖЕТНІ ВИТРАТИ</w:t>
      </w:r>
    </w:p>
    <w:p w:rsidR="00147494" w:rsidRPr="00147494" w:rsidRDefault="00147494" w:rsidP="00147494">
      <w:pPr>
        <w:ind w:firstLine="851"/>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на адміністрування регулювання для суб</w:t>
      </w:r>
      <w:r w:rsidRPr="00147494">
        <w:rPr>
          <w:rFonts w:ascii="Times New Roman" w:eastAsia="Times New Roman" w:hAnsi="Times New Roman" w:cs="Times New Roman"/>
          <w:b/>
          <w:sz w:val="26"/>
          <w:szCs w:val="26"/>
          <w:lang w:eastAsia="ru-RU"/>
        </w:rPr>
        <w:t>’</w:t>
      </w:r>
      <w:r w:rsidRPr="00147494">
        <w:rPr>
          <w:rFonts w:ascii="Times New Roman" w:eastAsia="Times New Roman" w:hAnsi="Times New Roman" w:cs="Times New Roman"/>
          <w:b/>
          <w:sz w:val="26"/>
          <w:szCs w:val="26"/>
          <w:lang w:val="uk-UA" w:eastAsia="ru-RU"/>
        </w:rPr>
        <w:t>єктів малого і мікропідприємництва</w:t>
      </w:r>
    </w:p>
    <w:p w:rsidR="00147494" w:rsidRPr="00147494" w:rsidRDefault="00147494" w:rsidP="00147494">
      <w:pPr>
        <w:ind w:firstLine="851"/>
        <w:jc w:val="both"/>
        <w:rPr>
          <w:rFonts w:ascii="Times New Roman" w:eastAsia="Times New Roman" w:hAnsi="Times New Roman" w:cs="Times New Roman"/>
          <w:sz w:val="26"/>
          <w:szCs w:val="26"/>
          <w:lang w:val="uk-UA" w:eastAsia="ru-RU"/>
        </w:rPr>
      </w:pPr>
    </w:p>
    <w:p w:rsidR="00147494" w:rsidRPr="00147494" w:rsidRDefault="00147494" w:rsidP="00147494">
      <w:pPr>
        <w:ind w:firstLine="851"/>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Бюджетні витрати на адміністрування регулювання суб’єктів малого підприємництва, що встановлюється цим рішенням, не підлягають розрахунку, оскільки встановлені нормами Податкового кодексу України.</w:t>
      </w:r>
    </w:p>
    <w:p w:rsidR="00147494" w:rsidRPr="00147494" w:rsidRDefault="00147494" w:rsidP="00147494">
      <w:pPr>
        <w:ind w:firstLine="851"/>
        <w:jc w:val="both"/>
        <w:rPr>
          <w:rFonts w:ascii="Times New Roman" w:eastAsia="Times New Roman" w:hAnsi="Times New Roman" w:cs="Times New Roman"/>
          <w:sz w:val="26"/>
          <w:szCs w:val="26"/>
          <w:lang w:val="uk-UA" w:eastAsia="ru-RU"/>
        </w:rPr>
      </w:pP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4. Розрахунок сумарних витрат суб</w:t>
      </w:r>
      <w:r w:rsidRPr="00147494">
        <w:rPr>
          <w:rFonts w:ascii="Times New Roman" w:eastAsia="Times New Roman" w:hAnsi="Times New Roman" w:cs="Times New Roman"/>
          <w:b/>
          <w:sz w:val="26"/>
          <w:szCs w:val="26"/>
          <w:lang w:eastAsia="ru-RU"/>
        </w:rPr>
        <w:t>’</w:t>
      </w:r>
      <w:r w:rsidRPr="00147494">
        <w:rPr>
          <w:rFonts w:ascii="Times New Roman" w:eastAsia="Times New Roman" w:hAnsi="Times New Roman" w:cs="Times New Roman"/>
          <w:b/>
          <w:sz w:val="26"/>
          <w:szCs w:val="26"/>
          <w:lang w:val="uk-UA" w:eastAsia="ru-RU"/>
        </w:rPr>
        <w:t>єктів малого підприємництва, що виникають на виконання вимог регулювання.</w:t>
      </w: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980"/>
        <w:gridCol w:w="1927"/>
      </w:tblGrid>
      <w:tr w:rsidR="00147494" w:rsidRPr="00147494" w:rsidTr="00147494">
        <w:tc>
          <w:tcPr>
            <w:tcW w:w="67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w:t>
            </w:r>
          </w:p>
        </w:tc>
        <w:tc>
          <w:tcPr>
            <w:tcW w:w="723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Показник</w:t>
            </w:r>
          </w:p>
        </w:tc>
        <w:tc>
          <w:tcPr>
            <w:tcW w:w="1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center"/>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У перший рік (стартовий рік впровадження регулювання)</w:t>
            </w:r>
          </w:p>
        </w:tc>
      </w:tr>
      <w:tr w:rsidR="00147494" w:rsidRPr="00147494" w:rsidTr="00147494">
        <w:tc>
          <w:tcPr>
            <w:tcW w:w="67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Оцінка «прямих» витрат суб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єктів малого підприємництва на виконання регулювання</w:t>
            </w:r>
          </w:p>
        </w:tc>
        <w:tc>
          <w:tcPr>
            <w:tcW w:w="1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1685200,34</w:t>
            </w:r>
          </w:p>
        </w:tc>
      </w:tr>
      <w:tr w:rsidR="00147494" w:rsidRPr="00147494" w:rsidTr="00147494">
        <w:tc>
          <w:tcPr>
            <w:tcW w:w="67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Оцінка вартості адміністративних процедур суб’єктів малого підприємництва щодо виконання регулювання та звітування</w:t>
            </w:r>
          </w:p>
        </w:tc>
        <w:tc>
          <w:tcPr>
            <w:tcW w:w="1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    11220,08</w:t>
            </w:r>
          </w:p>
        </w:tc>
      </w:tr>
      <w:tr w:rsidR="00147494" w:rsidRPr="00147494" w:rsidTr="00147494">
        <w:tc>
          <w:tcPr>
            <w:tcW w:w="67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 xml:space="preserve">Сумарні витрати малого підприємництва на виконання </w:t>
            </w:r>
            <w:r w:rsidRPr="00147494">
              <w:rPr>
                <w:rFonts w:ascii="Times New Roman" w:eastAsia="Times New Roman" w:hAnsi="Times New Roman" w:cs="Times New Roman"/>
                <w:sz w:val="26"/>
                <w:szCs w:val="26"/>
                <w:lang w:val="uk-UA" w:eastAsia="ru-RU"/>
              </w:rPr>
              <w:lastRenderedPageBreak/>
              <w:t>запланованого регулювання</w:t>
            </w:r>
          </w:p>
        </w:tc>
        <w:tc>
          <w:tcPr>
            <w:tcW w:w="1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color w:val="FF0000"/>
                <w:sz w:val="26"/>
                <w:szCs w:val="26"/>
                <w:lang w:val="uk-UA" w:eastAsia="ru-RU"/>
              </w:rPr>
            </w:pPr>
            <w:r w:rsidRPr="00147494">
              <w:rPr>
                <w:rFonts w:ascii="Times New Roman" w:eastAsia="Times New Roman" w:hAnsi="Times New Roman" w:cs="Times New Roman"/>
                <w:sz w:val="26"/>
                <w:szCs w:val="26"/>
                <w:lang w:val="uk-UA" w:eastAsia="ru-RU"/>
              </w:rPr>
              <w:lastRenderedPageBreak/>
              <w:t>1696420,42</w:t>
            </w:r>
          </w:p>
        </w:tc>
      </w:tr>
      <w:tr w:rsidR="00147494" w:rsidRPr="00147494" w:rsidTr="00147494">
        <w:tc>
          <w:tcPr>
            <w:tcW w:w="67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lastRenderedPageBreak/>
              <w:t>4</w:t>
            </w:r>
          </w:p>
        </w:tc>
        <w:tc>
          <w:tcPr>
            <w:tcW w:w="723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Бюджетні витрати на адміністрування регулювання для суб’єктів малого і мікропідприємництва</w:t>
            </w:r>
          </w:p>
        </w:tc>
        <w:tc>
          <w:tcPr>
            <w:tcW w:w="1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0</w:t>
            </w:r>
          </w:p>
        </w:tc>
      </w:tr>
      <w:tr w:rsidR="00147494" w:rsidRPr="00147494" w:rsidTr="00147494">
        <w:tc>
          <w:tcPr>
            <w:tcW w:w="675"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Сумарні витрати на виконання запланованого регулювання</w:t>
            </w:r>
          </w:p>
        </w:tc>
        <w:tc>
          <w:tcPr>
            <w:tcW w:w="1927" w:type="dxa"/>
            <w:tcBorders>
              <w:top w:val="single" w:sz="4" w:space="0" w:color="auto"/>
              <w:left w:val="single" w:sz="4" w:space="0" w:color="auto"/>
              <w:bottom w:val="single" w:sz="4" w:space="0" w:color="auto"/>
              <w:right w:val="single" w:sz="4" w:space="0" w:color="auto"/>
            </w:tcBorders>
            <w:hideMark/>
          </w:tcPr>
          <w:p w:rsidR="00147494" w:rsidRPr="00147494" w:rsidRDefault="00147494" w:rsidP="00147494">
            <w:pPr>
              <w:jc w:val="both"/>
              <w:rPr>
                <w:rFonts w:ascii="Times New Roman" w:eastAsia="Times New Roman" w:hAnsi="Times New Roman" w:cs="Times New Roman"/>
                <w:b/>
                <w:color w:val="FF0000"/>
                <w:sz w:val="26"/>
                <w:szCs w:val="26"/>
                <w:lang w:val="uk-UA" w:eastAsia="ru-RU"/>
              </w:rPr>
            </w:pPr>
            <w:r w:rsidRPr="00147494">
              <w:rPr>
                <w:rFonts w:ascii="Times New Roman" w:eastAsia="Times New Roman" w:hAnsi="Times New Roman" w:cs="Times New Roman"/>
                <w:b/>
                <w:sz w:val="26"/>
                <w:szCs w:val="26"/>
                <w:lang w:val="uk-UA" w:eastAsia="ru-RU"/>
              </w:rPr>
              <w:t>1696420,42</w:t>
            </w:r>
          </w:p>
        </w:tc>
      </w:tr>
    </w:tbl>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r w:rsidRPr="00147494">
        <w:rPr>
          <w:rFonts w:ascii="Times New Roman" w:eastAsia="Times New Roman" w:hAnsi="Times New Roman" w:cs="Times New Roman"/>
          <w:b/>
          <w:sz w:val="26"/>
          <w:szCs w:val="26"/>
          <w:lang w:val="uk-UA" w:eastAsia="ru-RU"/>
        </w:rPr>
        <w:t>5. Розроблення корегуючих (пом</w:t>
      </w:r>
      <w:r w:rsidRPr="00147494">
        <w:rPr>
          <w:rFonts w:ascii="Times New Roman" w:eastAsia="Times New Roman" w:hAnsi="Times New Roman" w:cs="Times New Roman"/>
          <w:b/>
          <w:sz w:val="26"/>
          <w:szCs w:val="26"/>
          <w:lang w:eastAsia="ru-RU"/>
        </w:rPr>
        <w:t>’</w:t>
      </w:r>
      <w:r w:rsidRPr="00147494">
        <w:rPr>
          <w:rFonts w:ascii="Times New Roman" w:eastAsia="Times New Roman" w:hAnsi="Times New Roman" w:cs="Times New Roman"/>
          <w:b/>
          <w:sz w:val="26"/>
          <w:szCs w:val="26"/>
          <w:lang w:val="uk-UA" w:eastAsia="ru-RU"/>
        </w:rPr>
        <w:t>якшувальних) заходів для малого підприємництва щодо запропонованого регулювання.</w:t>
      </w:r>
    </w:p>
    <w:p w:rsidR="00147494" w:rsidRPr="00147494" w:rsidRDefault="00147494" w:rsidP="00147494">
      <w:pPr>
        <w:ind w:firstLine="851"/>
        <w:jc w:val="both"/>
        <w:rPr>
          <w:rFonts w:ascii="Times New Roman" w:eastAsia="Times New Roman" w:hAnsi="Times New Roman" w:cs="Times New Roman"/>
          <w:b/>
          <w:sz w:val="26"/>
          <w:szCs w:val="26"/>
          <w:lang w:val="uk-UA" w:eastAsia="ru-RU"/>
        </w:rPr>
      </w:pPr>
    </w:p>
    <w:p w:rsidR="00147494" w:rsidRPr="00147494" w:rsidRDefault="00147494" w:rsidP="00147494">
      <w:pPr>
        <w:ind w:firstLine="851"/>
        <w:jc w:val="both"/>
        <w:rPr>
          <w:rFonts w:ascii="Times New Roman" w:eastAsia="Times New Roman" w:hAnsi="Times New Roman" w:cs="Times New Roman"/>
          <w:sz w:val="26"/>
          <w:szCs w:val="26"/>
          <w:lang w:val="uk-UA" w:eastAsia="ru-RU"/>
        </w:rPr>
      </w:pPr>
      <w:r w:rsidRPr="00147494">
        <w:rPr>
          <w:rFonts w:ascii="Times New Roman" w:eastAsia="Times New Roman" w:hAnsi="Times New Roman" w:cs="Times New Roman"/>
          <w:sz w:val="26"/>
          <w:szCs w:val="26"/>
          <w:lang w:val="uk-UA" w:eastAsia="ru-RU"/>
        </w:rPr>
        <w:t>На основі аналізу визначено, що зазначена сума платежів є прийнятною для суб</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єктів малого підприємництва, а впровадження компенсаторних (пом</w:t>
      </w:r>
      <w:r w:rsidRPr="00147494">
        <w:rPr>
          <w:rFonts w:ascii="Times New Roman" w:eastAsia="Times New Roman" w:hAnsi="Times New Roman" w:cs="Times New Roman"/>
          <w:sz w:val="26"/>
          <w:szCs w:val="26"/>
          <w:lang w:eastAsia="ru-RU"/>
        </w:rPr>
        <w:t>’</w:t>
      </w:r>
      <w:r w:rsidRPr="00147494">
        <w:rPr>
          <w:rFonts w:ascii="Times New Roman" w:eastAsia="Times New Roman" w:hAnsi="Times New Roman" w:cs="Times New Roman"/>
          <w:sz w:val="26"/>
          <w:szCs w:val="26"/>
          <w:lang w:val="uk-UA" w:eastAsia="ru-RU"/>
        </w:rPr>
        <w:t>якшувальних) процедур не потрібно.</w:t>
      </w:r>
    </w:p>
    <w:p w:rsidR="00147494" w:rsidRPr="00147494" w:rsidRDefault="00147494" w:rsidP="00147494">
      <w:pPr>
        <w:ind w:firstLine="851"/>
        <w:jc w:val="both"/>
        <w:rPr>
          <w:rFonts w:ascii="Times New Roman" w:eastAsia="Times New Roman" w:hAnsi="Times New Roman" w:cs="Times New Roman"/>
          <w:sz w:val="26"/>
          <w:szCs w:val="26"/>
          <w:lang w:val="uk-UA" w:eastAsia="ru-RU"/>
        </w:rPr>
      </w:pPr>
    </w:p>
    <w:p w:rsidR="00147494" w:rsidRPr="00147494" w:rsidRDefault="00147494" w:rsidP="00147494">
      <w:pPr>
        <w:ind w:firstLine="851"/>
        <w:jc w:val="both"/>
        <w:rPr>
          <w:rFonts w:ascii="Times New Roman" w:eastAsia="Times New Roman" w:hAnsi="Times New Roman" w:cs="Times New Roman"/>
          <w:sz w:val="26"/>
          <w:szCs w:val="26"/>
          <w:lang w:val="uk-UA" w:eastAsia="ru-RU"/>
        </w:rPr>
      </w:pPr>
    </w:p>
    <w:p w:rsidR="00147494" w:rsidRPr="00147494" w:rsidRDefault="00147494" w:rsidP="00147494">
      <w:pPr>
        <w:jc w:val="both"/>
        <w:rPr>
          <w:rFonts w:ascii="Times New Roman" w:eastAsia="Times New Roman" w:hAnsi="Times New Roman" w:cs="Times New Roman"/>
          <w:sz w:val="26"/>
          <w:szCs w:val="26"/>
          <w:lang w:val="uk-UA" w:eastAsia="ru-RU"/>
        </w:rPr>
      </w:pPr>
    </w:p>
    <w:p w:rsidR="00147494" w:rsidRPr="00147494" w:rsidRDefault="00147494" w:rsidP="00147494">
      <w:pPr>
        <w:jc w:val="both"/>
        <w:rPr>
          <w:rFonts w:ascii="Times New Roman" w:eastAsia="Calibri" w:hAnsi="Times New Roman" w:cs="Times New Roman"/>
          <w:bCs/>
          <w:iCs/>
          <w:sz w:val="28"/>
          <w:szCs w:val="28"/>
          <w:lang w:val="uk-UA" w:eastAsia="ru-RU"/>
        </w:rPr>
      </w:pPr>
      <w:r w:rsidRPr="00147494">
        <w:rPr>
          <w:rFonts w:ascii="Times New Roman" w:eastAsia="Calibri" w:hAnsi="Times New Roman" w:cs="Times New Roman"/>
          <w:bCs/>
          <w:iCs/>
          <w:sz w:val="28"/>
          <w:szCs w:val="28"/>
          <w:lang w:eastAsia="ru-RU"/>
        </w:rPr>
        <w:t xml:space="preserve">Начальник фінансового </w:t>
      </w:r>
      <w:r w:rsidRPr="00147494">
        <w:rPr>
          <w:rFonts w:ascii="Times New Roman" w:eastAsia="Calibri" w:hAnsi="Times New Roman" w:cs="Times New Roman"/>
          <w:bCs/>
          <w:iCs/>
          <w:sz w:val="28"/>
          <w:szCs w:val="28"/>
          <w:lang w:val="uk-UA" w:eastAsia="ru-RU"/>
        </w:rPr>
        <w:t>відділу</w:t>
      </w:r>
      <w:r w:rsidRPr="00147494">
        <w:rPr>
          <w:rFonts w:ascii="Times New Roman" w:eastAsia="Calibri" w:hAnsi="Times New Roman" w:cs="Times New Roman"/>
          <w:bCs/>
          <w:iCs/>
          <w:sz w:val="28"/>
          <w:szCs w:val="28"/>
          <w:lang w:eastAsia="ru-RU"/>
        </w:rPr>
        <w:t xml:space="preserve">   </w:t>
      </w:r>
      <w:r w:rsidRPr="00147494">
        <w:rPr>
          <w:rFonts w:ascii="Times New Roman" w:eastAsia="Calibri" w:hAnsi="Times New Roman" w:cs="Times New Roman"/>
          <w:bCs/>
          <w:iCs/>
          <w:sz w:val="28"/>
          <w:szCs w:val="28"/>
          <w:lang w:val="uk-UA" w:eastAsia="ru-RU"/>
        </w:rPr>
        <w:t xml:space="preserve">                                   Галина БЕЖЕНАР</w:t>
      </w:r>
    </w:p>
    <w:p w:rsidR="00147494" w:rsidRPr="00147494" w:rsidRDefault="00147494" w:rsidP="00147494">
      <w:pPr>
        <w:jc w:val="both"/>
        <w:rPr>
          <w:rFonts w:ascii="Times New Roman" w:eastAsia="Times New Roman" w:hAnsi="Times New Roman" w:cs="Times New Roman"/>
          <w:sz w:val="28"/>
          <w:szCs w:val="28"/>
          <w:lang w:val="uk-UA" w:eastAsia="ru-RU"/>
        </w:rPr>
      </w:pPr>
    </w:p>
    <w:p w:rsidR="00757E12" w:rsidRDefault="00757E12"/>
    <w:sectPr w:rsidR="0075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94"/>
    <w:rsid w:val="00147494"/>
    <w:rsid w:val="00757E12"/>
    <w:rsid w:val="0079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paragraph" w:styleId="1">
    <w:name w:val="heading 1"/>
    <w:basedOn w:val="a"/>
    <w:next w:val="a"/>
    <w:link w:val="10"/>
    <w:qFormat/>
    <w:rsid w:val="00147494"/>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147494"/>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147494"/>
    <w:pPr>
      <w:keepNext/>
      <w:spacing w:before="120"/>
      <w:ind w:left="567"/>
      <w:outlineLvl w:val="2"/>
    </w:pPr>
    <w:rPr>
      <w:rFonts w:ascii="Antiqua" w:eastAsia="Times New Roman" w:hAnsi="Antiqua" w:cs="Times New Roman"/>
      <w:b/>
      <w:i/>
      <w:sz w:val="26"/>
      <w:szCs w:val="20"/>
      <w:lang w:val="uk-UA" w:eastAsia="ru-RU"/>
    </w:rPr>
  </w:style>
  <w:style w:type="paragraph" w:styleId="4">
    <w:name w:val="heading 4"/>
    <w:basedOn w:val="a"/>
    <w:next w:val="a"/>
    <w:link w:val="40"/>
    <w:semiHidden/>
    <w:unhideWhenUsed/>
    <w:qFormat/>
    <w:rsid w:val="001474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49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4749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47494"/>
    <w:rPr>
      <w:rFonts w:ascii="Antiqua" w:eastAsia="Times New Roman" w:hAnsi="Antiqua" w:cs="Times New Roman"/>
      <w:b/>
      <w:i/>
      <w:sz w:val="26"/>
      <w:szCs w:val="20"/>
      <w:lang w:val="uk-UA" w:eastAsia="ru-RU"/>
    </w:rPr>
  </w:style>
  <w:style w:type="character" w:customStyle="1" w:styleId="40">
    <w:name w:val="Заголовок 4 Знак"/>
    <w:basedOn w:val="a0"/>
    <w:link w:val="4"/>
    <w:semiHidden/>
    <w:rsid w:val="001474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47494"/>
  </w:style>
  <w:style w:type="character" w:styleId="a3">
    <w:name w:val="Hyperlink"/>
    <w:semiHidden/>
    <w:unhideWhenUsed/>
    <w:rsid w:val="00147494"/>
    <w:rPr>
      <w:color w:val="0000FF"/>
      <w:u w:val="single"/>
    </w:rPr>
  </w:style>
  <w:style w:type="character" w:styleId="a4">
    <w:name w:val="FollowedHyperlink"/>
    <w:basedOn w:val="a0"/>
    <w:uiPriority w:val="99"/>
    <w:semiHidden/>
    <w:unhideWhenUsed/>
    <w:rsid w:val="00147494"/>
    <w:rPr>
      <w:color w:val="800080" w:themeColor="followedHyperlink"/>
      <w:u w:val="single"/>
    </w:rPr>
  </w:style>
  <w:style w:type="paragraph" w:styleId="HTML">
    <w:name w:val="HTML Preformatted"/>
    <w:basedOn w:val="a"/>
    <w:link w:val="HTML0"/>
    <w:uiPriority w:val="99"/>
    <w:semiHidden/>
    <w:unhideWhenUsed/>
    <w:rsid w:val="0014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147494"/>
    <w:rPr>
      <w:rFonts w:ascii="Courier New" w:eastAsia="Times New Roman" w:hAnsi="Courier New" w:cs="Times New Roman"/>
      <w:sz w:val="20"/>
      <w:szCs w:val="20"/>
      <w:lang w:val="x-none" w:eastAsia="x-none"/>
    </w:rPr>
  </w:style>
  <w:style w:type="paragraph" w:styleId="a5">
    <w:name w:val="Normal (Web)"/>
    <w:basedOn w:val="a"/>
    <w:semiHidden/>
    <w:unhideWhenUsed/>
    <w:rsid w:val="00147494"/>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47494"/>
    <w:pPr>
      <w:tabs>
        <w:tab w:val="center" w:pos="4677"/>
        <w:tab w:val="right" w:pos="9355"/>
      </w:tabs>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147494"/>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47494"/>
    <w:pPr>
      <w:tabs>
        <w:tab w:val="center" w:pos="4677"/>
        <w:tab w:val="right" w:pos="9355"/>
      </w:tabs>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147494"/>
    <w:rPr>
      <w:rFonts w:ascii="Times New Roman" w:eastAsia="Times New Roman" w:hAnsi="Times New Roman" w:cs="Times New Roman"/>
      <w:sz w:val="20"/>
      <w:szCs w:val="20"/>
      <w:lang w:eastAsia="ru-RU"/>
    </w:rPr>
  </w:style>
  <w:style w:type="paragraph" w:styleId="aa">
    <w:name w:val="Title"/>
    <w:basedOn w:val="a"/>
    <w:link w:val="ab"/>
    <w:qFormat/>
    <w:rsid w:val="00147494"/>
    <w:pPr>
      <w:jc w:val="center"/>
    </w:pPr>
    <w:rPr>
      <w:rFonts w:ascii="Times New Roman" w:eastAsia="Times New Roman" w:hAnsi="Times New Roman" w:cs="Times New Roman"/>
      <w:sz w:val="28"/>
      <w:szCs w:val="20"/>
      <w:lang w:val="uk-UA" w:eastAsia="ru-RU"/>
    </w:rPr>
  </w:style>
  <w:style w:type="character" w:customStyle="1" w:styleId="ab">
    <w:name w:val="Название Знак"/>
    <w:basedOn w:val="a0"/>
    <w:link w:val="aa"/>
    <w:rsid w:val="00147494"/>
    <w:rPr>
      <w:rFonts w:ascii="Times New Roman" w:eastAsia="Times New Roman" w:hAnsi="Times New Roman" w:cs="Times New Roman"/>
      <w:sz w:val="28"/>
      <w:szCs w:val="20"/>
      <w:lang w:val="uk-UA" w:eastAsia="ru-RU"/>
    </w:rPr>
  </w:style>
  <w:style w:type="paragraph" w:styleId="ac">
    <w:name w:val="Body Text"/>
    <w:basedOn w:val="a"/>
    <w:link w:val="ad"/>
    <w:uiPriority w:val="99"/>
    <w:unhideWhenUsed/>
    <w:rsid w:val="00147494"/>
    <w:pPr>
      <w:jc w:val="both"/>
    </w:pPr>
    <w:rPr>
      <w:rFonts w:ascii="Times New Roman" w:eastAsia="Times New Roman" w:hAnsi="Times New Roman" w:cs="Times New Roman"/>
      <w:sz w:val="28"/>
      <w:szCs w:val="20"/>
      <w:lang w:val="uk-UA" w:eastAsia="x-none"/>
    </w:rPr>
  </w:style>
  <w:style w:type="character" w:customStyle="1" w:styleId="ad">
    <w:name w:val="Основной текст Знак"/>
    <w:basedOn w:val="a0"/>
    <w:link w:val="ac"/>
    <w:uiPriority w:val="99"/>
    <w:rsid w:val="00147494"/>
    <w:rPr>
      <w:rFonts w:ascii="Times New Roman" w:eastAsia="Times New Roman" w:hAnsi="Times New Roman" w:cs="Times New Roman"/>
      <w:sz w:val="28"/>
      <w:szCs w:val="20"/>
      <w:lang w:val="uk-UA" w:eastAsia="x-none"/>
    </w:rPr>
  </w:style>
  <w:style w:type="paragraph" w:styleId="ae">
    <w:name w:val="Body Text Indent"/>
    <w:basedOn w:val="a"/>
    <w:link w:val="af"/>
    <w:semiHidden/>
    <w:unhideWhenUsed/>
    <w:rsid w:val="00147494"/>
    <w:pPr>
      <w:ind w:firstLine="720"/>
      <w:jc w:val="both"/>
    </w:pPr>
    <w:rPr>
      <w:rFonts w:ascii="Times New Roman" w:eastAsia="Times New Roman" w:hAnsi="Times New Roman" w:cs="Times New Roman"/>
      <w:sz w:val="28"/>
      <w:szCs w:val="20"/>
      <w:lang w:val="uk-UA" w:eastAsia="x-none"/>
    </w:rPr>
  </w:style>
  <w:style w:type="character" w:customStyle="1" w:styleId="af">
    <w:name w:val="Основной текст с отступом Знак"/>
    <w:basedOn w:val="a0"/>
    <w:link w:val="ae"/>
    <w:semiHidden/>
    <w:rsid w:val="00147494"/>
    <w:rPr>
      <w:rFonts w:ascii="Times New Roman" w:eastAsia="Times New Roman" w:hAnsi="Times New Roman" w:cs="Times New Roman"/>
      <w:sz w:val="28"/>
      <w:szCs w:val="20"/>
      <w:lang w:val="uk-UA" w:eastAsia="x-none"/>
    </w:rPr>
  </w:style>
  <w:style w:type="paragraph" w:styleId="21">
    <w:name w:val="Body Text 2"/>
    <w:basedOn w:val="a"/>
    <w:link w:val="22"/>
    <w:semiHidden/>
    <w:unhideWhenUsed/>
    <w:rsid w:val="00147494"/>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semiHidden/>
    <w:rsid w:val="00147494"/>
    <w:rPr>
      <w:rFonts w:ascii="Times New Roman" w:eastAsia="Times New Roman" w:hAnsi="Times New Roman" w:cs="Times New Roman"/>
      <w:sz w:val="28"/>
      <w:szCs w:val="20"/>
      <w:lang w:val="uk-UA" w:eastAsia="ru-RU"/>
    </w:rPr>
  </w:style>
  <w:style w:type="paragraph" w:styleId="23">
    <w:name w:val="Body Text Indent 2"/>
    <w:basedOn w:val="a"/>
    <w:link w:val="24"/>
    <w:semiHidden/>
    <w:unhideWhenUsed/>
    <w:rsid w:val="00147494"/>
    <w:pPr>
      <w:ind w:left="1931"/>
      <w:jc w:val="both"/>
    </w:pPr>
    <w:rPr>
      <w:rFonts w:ascii="Times New Roman" w:eastAsia="Times New Roman" w:hAnsi="Times New Roman" w:cs="Times New Roman"/>
      <w:sz w:val="28"/>
      <w:szCs w:val="20"/>
      <w:lang w:val="uk-UA" w:eastAsia="ru-RU"/>
    </w:rPr>
  </w:style>
  <w:style w:type="character" w:customStyle="1" w:styleId="24">
    <w:name w:val="Основной текст с отступом 2 Знак"/>
    <w:basedOn w:val="a0"/>
    <w:link w:val="23"/>
    <w:semiHidden/>
    <w:rsid w:val="00147494"/>
    <w:rPr>
      <w:rFonts w:ascii="Times New Roman" w:eastAsia="Times New Roman" w:hAnsi="Times New Roman" w:cs="Times New Roman"/>
      <w:sz w:val="28"/>
      <w:szCs w:val="20"/>
      <w:lang w:val="uk-UA" w:eastAsia="ru-RU"/>
    </w:rPr>
  </w:style>
  <w:style w:type="paragraph" w:styleId="31">
    <w:name w:val="Body Text Indent 3"/>
    <w:basedOn w:val="a"/>
    <w:link w:val="32"/>
    <w:semiHidden/>
    <w:unhideWhenUsed/>
    <w:rsid w:val="00147494"/>
    <w:pPr>
      <w:spacing w:after="120"/>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semiHidden/>
    <w:rsid w:val="00147494"/>
    <w:rPr>
      <w:rFonts w:ascii="Times New Roman" w:eastAsia="Times New Roman" w:hAnsi="Times New Roman" w:cs="Times New Roman"/>
      <w:sz w:val="16"/>
      <w:szCs w:val="16"/>
      <w:lang w:val="x-none" w:eastAsia="x-none"/>
    </w:rPr>
  </w:style>
  <w:style w:type="paragraph" w:styleId="af0">
    <w:name w:val="Balloon Text"/>
    <w:basedOn w:val="a"/>
    <w:link w:val="af1"/>
    <w:semiHidden/>
    <w:unhideWhenUsed/>
    <w:rsid w:val="00147494"/>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147494"/>
    <w:rPr>
      <w:rFonts w:ascii="Tahoma" w:eastAsia="Times New Roman" w:hAnsi="Tahoma" w:cs="Times New Roman"/>
      <w:sz w:val="16"/>
      <w:szCs w:val="16"/>
      <w:lang w:val="x-none" w:eastAsia="x-none"/>
    </w:rPr>
  </w:style>
  <w:style w:type="character" w:customStyle="1" w:styleId="af2">
    <w:name w:val="Без интервала Знак"/>
    <w:link w:val="af3"/>
    <w:uiPriority w:val="99"/>
    <w:locked/>
    <w:rsid w:val="00147494"/>
  </w:style>
  <w:style w:type="paragraph" w:styleId="af3">
    <w:name w:val="No Spacing"/>
    <w:link w:val="af2"/>
    <w:uiPriority w:val="99"/>
    <w:qFormat/>
    <w:rsid w:val="00147494"/>
    <w:pPr>
      <w:spacing w:after="0" w:line="240" w:lineRule="auto"/>
    </w:pPr>
  </w:style>
  <w:style w:type="paragraph" w:styleId="af4">
    <w:name w:val="List Paragraph"/>
    <w:basedOn w:val="a"/>
    <w:uiPriority w:val="34"/>
    <w:qFormat/>
    <w:rsid w:val="00147494"/>
    <w:pPr>
      <w:spacing w:after="200" w:line="276" w:lineRule="auto"/>
      <w:ind w:left="720"/>
      <w:contextualSpacing/>
    </w:pPr>
    <w:rPr>
      <w:rFonts w:ascii="Calibri" w:eastAsia="Calibri" w:hAnsi="Calibri" w:cs="Times New Roman"/>
    </w:rPr>
  </w:style>
  <w:style w:type="paragraph" w:customStyle="1" w:styleId="af5">
    <w:name w:val="Нормальний текст"/>
    <w:basedOn w:val="a"/>
    <w:rsid w:val="00147494"/>
    <w:pPr>
      <w:spacing w:before="120"/>
      <w:ind w:firstLine="567"/>
    </w:pPr>
    <w:rPr>
      <w:rFonts w:ascii="Antiqua" w:eastAsia="Times New Roman" w:hAnsi="Antiqua" w:cs="Times New Roman"/>
      <w:sz w:val="26"/>
      <w:szCs w:val="20"/>
      <w:lang w:val="uk-UA" w:eastAsia="ru-RU"/>
    </w:rPr>
  </w:style>
  <w:style w:type="paragraph" w:customStyle="1" w:styleId="af6">
    <w:name w:val="Назва документа"/>
    <w:basedOn w:val="a"/>
    <w:next w:val="af5"/>
    <w:uiPriority w:val="99"/>
    <w:rsid w:val="00147494"/>
    <w:pPr>
      <w:keepNext/>
      <w:keepLines/>
      <w:spacing w:before="240" w:after="240"/>
      <w:jc w:val="center"/>
    </w:pPr>
    <w:rPr>
      <w:rFonts w:ascii="Antiqua" w:eastAsia="Times New Roman" w:hAnsi="Antiqua" w:cs="Times New Roman"/>
      <w:b/>
      <w:sz w:val="26"/>
      <w:szCs w:val="20"/>
      <w:lang w:val="uk-UA" w:eastAsia="ru-RU"/>
    </w:rPr>
  </w:style>
  <w:style w:type="paragraph" w:customStyle="1" w:styleId="NoSpacing">
    <w:name w:val="No Spacing"/>
    <w:rsid w:val="00147494"/>
    <w:pPr>
      <w:spacing w:after="0" w:line="240" w:lineRule="auto"/>
    </w:pPr>
    <w:rPr>
      <w:rFonts w:ascii="Times New Roman" w:eastAsia="Calibri" w:hAnsi="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147494"/>
    <w:rPr>
      <w:rFonts w:ascii="Verdana" w:eastAsia="Times New Roman" w:hAnsi="Verdana" w:cs="Verdana"/>
      <w:sz w:val="20"/>
      <w:szCs w:val="20"/>
      <w:lang w:val="en-US"/>
    </w:rPr>
  </w:style>
  <w:style w:type="character" w:customStyle="1" w:styleId="12">
    <w:name w:val="Заголовок №1_"/>
    <w:link w:val="13"/>
    <w:locked/>
    <w:rsid w:val="00147494"/>
    <w:rPr>
      <w:b/>
      <w:bCs/>
      <w:shd w:val="clear" w:color="auto" w:fill="FFFFFF"/>
    </w:rPr>
  </w:style>
  <w:style w:type="paragraph" w:customStyle="1" w:styleId="13">
    <w:name w:val="Заголовок №1"/>
    <w:basedOn w:val="a"/>
    <w:link w:val="12"/>
    <w:rsid w:val="00147494"/>
    <w:pPr>
      <w:widowControl w:val="0"/>
      <w:shd w:val="clear" w:color="auto" w:fill="FFFFFF"/>
      <w:spacing w:after="240" w:line="274" w:lineRule="exact"/>
      <w:ind w:hanging="1580"/>
      <w:jc w:val="center"/>
      <w:outlineLvl w:val="0"/>
    </w:pPr>
    <w:rPr>
      <w:b/>
      <w:bCs/>
    </w:rPr>
  </w:style>
  <w:style w:type="character" w:customStyle="1" w:styleId="af7">
    <w:name w:val="Подпись к таблице_"/>
    <w:link w:val="af8"/>
    <w:locked/>
    <w:rsid w:val="00147494"/>
    <w:rPr>
      <w:shd w:val="clear" w:color="auto" w:fill="FFFFFF"/>
    </w:rPr>
  </w:style>
  <w:style w:type="paragraph" w:customStyle="1" w:styleId="af8">
    <w:name w:val="Подпись к таблице"/>
    <w:basedOn w:val="a"/>
    <w:link w:val="af7"/>
    <w:rsid w:val="00147494"/>
    <w:pPr>
      <w:widowControl w:val="0"/>
      <w:shd w:val="clear" w:color="auto" w:fill="FFFFFF"/>
      <w:spacing w:line="240" w:lineRule="atLeast"/>
    </w:pPr>
  </w:style>
  <w:style w:type="character" w:customStyle="1" w:styleId="25">
    <w:name w:val="Основной текст (2)_"/>
    <w:link w:val="210"/>
    <w:locked/>
    <w:rsid w:val="00147494"/>
    <w:rPr>
      <w:b/>
      <w:bCs/>
      <w:shd w:val="clear" w:color="auto" w:fill="FFFFFF"/>
    </w:rPr>
  </w:style>
  <w:style w:type="paragraph" w:customStyle="1" w:styleId="210">
    <w:name w:val="Основной текст (2)1"/>
    <w:basedOn w:val="a"/>
    <w:link w:val="25"/>
    <w:rsid w:val="00147494"/>
    <w:pPr>
      <w:widowControl w:val="0"/>
      <w:shd w:val="clear" w:color="auto" w:fill="FFFFFF"/>
      <w:spacing w:line="274" w:lineRule="exact"/>
    </w:pPr>
    <w:rPr>
      <w:b/>
      <w:bCs/>
    </w:rPr>
  </w:style>
  <w:style w:type="paragraph" w:customStyle="1" w:styleId="14">
    <w:name w:val="Знак Знак1 Знак"/>
    <w:basedOn w:val="a"/>
    <w:rsid w:val="00147494"/>
    <w:rPr>
      <w:rFonts w:ascii="Verdana" w:eastAsia="Times New Roman" w:hAnsi="Verdana" w:cs="Verdana"/>
      <w:sz w:val="20"/>
      <w:szCs w:val="20"/>
      <w:lang w:val="en-US"/>
    </w:rPr>
  </w:style>
  <w:style w:type="paragraph" w:customStyle="1" w:styleId="rvps2">
    <w:name w:val="rvps2"/>
    <w:basedOn w:val="a"/>
    <w:rsid w:val="0014749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6">
    <w:name w:val="Подпись к таблице (2)_"/>
    <w:link w:val="27"/>
    <w:locked/>
    <w:rsid w:val="00147494"/>
    <w:rPr>
      <w:b/>
      <w:bCs/>
      <w:shd w:val="clear" w:color="auto" w:fill="FFFFFF"/>
    </w:rPr>
  </w:style>
  <w:style w:type="paragraph" w:customStyle="1" w:styleId="27">
    <w:name w:val="Подпись к таблице (2)"/>
    <w:basedOn w:val="a"/>
    <w:link w:val="26"/>
    <w:rsid w:val="00147494"/>
    <w:pPr>
      <w:widowControl w:val="0"/>
      <w:shd w:val="clear" w:color="auto" w:fill="FFFFFF"/>
      <w:spacing w:line="240" w:lineRule="atLeast"/>
    </w:pPr>
    <w:rPr>
      <w:b/>
      <w:bCs/>
    </w:rPr>
  </w:style>
  <w:style w:type="paragraph" w:customStyle="1" w:styleId="33">
    <w:name w:val="Основной текст3"/>
    <w:basedOn w:val="a"/>
    <w:uiPriority w:val="99"/>
    <w:rsid w:val="00147494"/>
    <w:pPr>
      <w:widowControl w:val="0"/>
      <w:shd w:val="clear" w:color="auto" w:fill="FFFFFF"/>
      <w:spacing w:line="266" w:lineRule="exact"/>
    </w:pPr>
    <w:rPr>
      <w:rFonts w:ascii="Times New Roman" w:eastAsia="Times New Roman" w:hAnsi="Times New Roman" w:cs="Times New Roman"/>
      <w:color w:val="000000"/>
      <w:sz w:val="23"/>
      <w:szCs w:val="23"/>
      <w:lang w:val="uk-UA" w:eastAsia="ru-RU"/>
    </w:rPr>
  </w:style>
  <w:style w:type="character" w:customStyle="1" w:styleId="StyleZakonu">
    <w:name w:val="StyleZakonu Знак"/>
    <w:link w:val="StyleZakonu0"/>
    <w:uiPriority w:val="99"/>
    <w:locked/>
    <w:rsid w:val="00147494"/>
    <w:rPr>
      <w:lang w:val="x-none"/>
    </w:rPr>
  </w:style>
  <w:style w:type="paragraph" w:customStyle="1" w:styleId="StyleZakonu0">
    <w:name w:val="StyleZakonu"/>
    <w:basedOn w:val="a"/>
    <w:link w:val="StyleZakonu"/>
    <w:uiPriority w:val="99"/>
    <w:rsid w:val="00147494"/>
    <w:pPr>
      <w:spacing w:after="60" w:line="220" w:lineRule="exact"/>
      <w:ind w:firstLine="284"/>
      <w:jc w:val="both"/>
    </w:pPr>
    <w:rPr>
      <w:lang w:val="x-none"/>
    </w:rPr>
  </w:style>
  <w:style w:type="character" w:customStyle="1" w:styleId="FontStyle20">
    <w:name w:val="Font Style20"/>
    <w:rsid w:val="00147494"/>
    <w:rPr>
      <w:rFonts w:ascii="Times New Roman" w:hAnsi="Times New Roman" w:cs="Times New Roman" w:hint="default"/>
      <w:sz w:val="26"/>
      <w:szCs w:val="26"/>
    </w:rPr>
  </w:style>
  <w:style w:type="character" w:customStyle="1" w:styleId="FontStyle14">
    <w:name w:val="Font Style14"/>
    <w:rsid w:val="00147494"/>
    <w:rPr>
      <w:rFonts w:ascii="Times New Roman" w:hAnsi="Times New Roman" w:cs="Times New Roman" w:hint="default"/>
      <w:sz w:val="26"/>
      <w:szCs w:val="26"/>
    </w:rPr>
  </w:style>
  <w:style w:type="character" w:customStyle="1" w:styleId="28">
    <w:name w:val="Стиль2"/>
    <w:rsid w:val="00147494"/>
  </w:style>
  <w:style w:type="character" w:customStyle="1" w:styleId="rvts23">
    <w:name w:val="rvts23"/>
    <w:rsid w:val="00147494"/>
  </w:style>
  <w:style w:type="character" w:customStyle="1" w:styleId="rvts82">
    <w:name w:val="rvts82"/>
    <w:rsid w:val="00147494"/>
  </w:style>
  <w:style w:type="character" w:customStyle="1" w:styleId="Strong">
    <w:name w:val="Strong"/>
    <w:rsid w:val="00147494"/>
    <w:rPr>
      <w:b/>
      <w:bCs/>
    </w:rPr>
  </w:style>
  <w:style w:type="character" w:customStyle="1" w:styleId="29">
    <w:name w:val="Основной текст (2)"/>
    <w:rsid w:val="00147494"/>
    <w:rPr>
      <w:rFonts w:ascii="Times New Roman" w:hAnsi="Times New Roman" w:cs="Times New Roman" w:hint="default"/>
      <w:b/>
      <w:bCs/>
      <w:sz w:val="22"/>
      <w:szCs w:val="22"/>
      <w:u w:val="single"/>
    </w:rPr>
  </w:style>
  <w:style w:type="character" w:customStyle="1" w:styleId="2a">
    <w:name w:val="Основной текст (2) + Не полужирный"/>
    <w:rsid w:val="00147494"/>
  </w:style>
  <w:style w:type="character" w:customStyle="1" w:styleId="apple-converted-space">
    <w:name w:val="apple-converted-space"/>
    <w:rsid w:val="00147494"/>
  </w:style>
  <w:style w:type="character" w:customStyle="1" w:styleId="af9">
    <w:name w:val="Основной текст + Полужирный"/>
    <w:rsid w:val="00147494"/>
    <w:rPr>
      <w:rFonts w:ascii="Times New Roman" w:hAnsi="Times New Roman" w:cs="Times New Roman" w:hint="default"/>
      <w:b/>
      <w:bCs/>
      <w:sz w:val="22"/>
      <w:szCs w:val="22"/>
      <w:u w:val="single"/>
    </w:rPr>
  </w:style>
  <w:style w:type="character" w:customStyle="1" w:styleId="15">
    <w:name w:val="Основной текст + Полужирный1"/>
    <w:rsid w:val="00147494"/>
    <w:rPr>
      <w:rFonts w:ascii="Times New Roman" w:hAnsi="Times New Roman" w:cs="Times New Roman" w:hint="default"/>
      <w:b/>
      <w:bCs/>
      <w:strike w:val="0"/>
      <w:dstrike w:val="0"/>
      <w:sz w:val="22"/>
      <w:szCs w:val="22"/>
      <w:u w:val="none"/>
      <w:effect w:val="none"/>
    </w:rPr>
  </w:style>
  <w:style w:type="character" w:customStyle="1" w:styleId="afa">
    <w:name w:val="Колонтитул"/>
    <w:rsid w:val="00147494"/>
    <w:rPr>
      <w:rFonts w:ascii="Times New Roman" w:hAnsi="Times New Roman" w:cs="Times New Roman" w:hint="default"/>
      <w:strike w:val="0"/>
      <w:dstrike w:val="0"/>
      <w:noProof/>
      <w:sz w:val="22"/>
      <w:szCs w:val="22"/>
      <w:u w:val="none"/>
      <w:effect w:val="none"/>
    </w:rPr>
  </w:style>
  <w:style w:type="table" w:styleId="afb">
    <w:name w:val="Table Grid"/>
    <w:basedOn w:val="a1"/>
    <w:rsid w:val="001474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147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paragraph" w:styleId="1">
    <w:name w:val="heading 1"/>
    <w:basedOn w:val="a"/>
    <w:next w:val="a"/>
    <w:link w:val="10"/>
    <w:qFormat/>
    <w:rsid w:val="00147494"/>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147494"/>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147494"/>
    <w:pPr>
      <w:keepNext/>
      <w:spacing w:before="120"/>
      <w:ind w:left="567"/>
      <w:outlineLvl w:val="2"/>
    </w:pPr>
    <w:rPr>
      <w:rFonts w:ascii="Antiqua" w:eastAsia="Times New Roman" w:hAnsi="Antiqua" w:cs="Times New Roman"/>
      <w:b/>
      <w:i/>
      <w:sz w:val="26"/>
      <w:szCs w:val="20"/>
      <w:lang w:val="uk-UA" w:eastAsia="ru-RU"/>
    </w:rPr>
  </w:style>
  <w:style w:type="paragraph" w:styleId="4">
    <w:name w:val="heading 4"/>
    <w:basedOn w:val="a"/>
    <w:next w:val="a"/>
    <w:link w:val="40"/>
    <w:semiHidden/>
    <w:unhideWhenUsed/>
    <w:qFormat/>
    <w:rsid w:val="001474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49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4749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47494"/>
    <w:rPr>
      <w:rFonts w:ascii="Antiqua" w:eastAsia="Times New Roman" w:hAnsi="Antiqua" w:cs="Times New Roman"/>
      <w:b/>
      <w:i/>
      <w:sz w:val="26"/>
      <w:szCs w:val="20"/>
      <w:lang w:val="uk-UA" w:eastAsia="ru-RU"/>
    </w:rPr>
  </w:style>
  <w:style w:type="character" w:customStyle="1" w:styleId="40">
    <w:name w:val="Заголовок 4 Знак"/>
    <w:basedOn w:val="a0"/>
    <w:link w:val="4"/>
    <w:semiHidden/>
    <w:rsid w:val="001474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47494"/>
  </w:style>
  <w:style w:type="character" w:styleId="a3">
    <w:name w:val="Hyperlink"/>
    <w:semiHidden/>
    <w:unhideWhenUsed/>
    <w:rsid w:val="00147494"/>
    <w:rPr>
      <w:color w:val="0000FF"/>
      <w:u w:val="single"/>
    </w:rPr>
  </w:style>
  <w:style w:type="character" w:styleId="a4">
    <w:name w:val="FollowedHyperlink"/>
    <w:basedOn w:val="a0"/>
    <w:uiPriority w:val="99"/>
    <w:semiHidden/>
    <w:unhideWhenUsed/>
    <w:rsid w:val="00147494"/>
    <w:rPr>
      <w:color w:val="800080" w:themeColor="followedHyperlink"/>
      <w:u w:val="single"/>
    </w:rPr>
  </w:style>
  <w:style w:type="paragraph" w:styleId="HTML">
    <w:name w:val="HTML Preformatted"/>
    <w:basedOn w:val="a"/>
    <w:link w:val="HTML0"/>
    <w:uiPriority w:val="99"/>
    <w:semiHidden/>
    <w:unhideWhenUsed/>
    <w:rsid w:val="0014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147494"/>
    <w:rPr>
      <w:rFonts w:ascii="Courier New" w:eastAsia="Times New Roman" w:hAnsi="Courier New" w:cs="Times New Roman"/>
      <w:sz w:val="20"/>
      <w:szCs w:val="20"/>
      <w:lang w:val="x-none" w:eastAsia="x-none"/>
    </w:rPr>
  </w:style>
  <w:style w:type="paragraph" w:styleId="a5">
    <w:name w:val="Normal (Web)"/>
    <w:basedOn w:val="a"/>
    <w:semiHidden/>
    <w:unhideWhenUsed/>
    <w:rsid w:val="00147494"/>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47494"/>
    <w:pPr>
      <w:tabs>
        <w:tab w:val="center" w:pos="4677"/>
        <w:tab w:val="right" w:pos="9355"/>
      </w:tabs>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147494"/>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47494"/>
    <w:pPr>
      <w:tabs>
        <w:tab w:val="center" w:pos="4677"/>
        <w:tab w:val="right" w:pos="9355"/>
      </w:tabs>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147494"/>
    <w:rPr>
      <w:rFonts w:ascii="Times New Roman" w:eastAsia="Times New Roman" w:hAnsi="Times New Roman" w:cs="Times New Roman"/>
      <w:sz w:val="20"/>
      <w:szCs w:val="20"/>
      <w:lang w:eastAsia="ru-RU"/>
    </w:rPr>
  </w:style>
  <w:style w:type="paragraph" w:styleId="aa">
    <w:name w:val="Title"/>
    <w:basedOn w:val="a"/>
    <w:link w:val="ab"/>
    <w:qFormat/>
    <w:rsid w:val="00147494"/>
    <w:pPr>
      <w:jc w:val="center"/>
    </w:pPr>
    <w:rPr>
      <w:rFonts w:ascii="Times New Roman" w:eastAsia="Times New Roman" w:hAnsi="Times New Roman" w:cs="Times New Roman"/>
      <w:sz w:val="28"/>
      <w:szCs w:val="20"/>
      <w:lang w:val="uk-UA" w:eastAsia="ru-RU"/>
    </w:rPr>
  </w:style>
  <w:style w:type="character" w:customStyle="1" w:styleId="ab">
    <w:name w:val="Название Знак"/>
    <w:basedOn w:val="a0"/>
    <w:link w:val="aa"/>
    <w:rsid w:val="00147494"/>
    <w:rPr>
      <w:rFonts w:ascii="Times New Roman" w:eastAsia="Times New Roman" w:hAnsi="Times New Roman" w:cs="Times New Roman"/>
      <w:sz w:val="28"/>
      <w:szCs w:val="20"/>
      <w:lang w:val="uk-UA" w:eastAsia="ru-RU"/>
    </w:rPr>
  </w:style>
  <w:style w:type="paragraph" w:styleId="ac">
    <w:name w:val="Body Text"/>
    <w:basedOn w:val="a"/>
    <w:link w:val="ad"/>
    <w:uiPriority w:val="99"/>
    <w:unhideWhenUsed/>
    <w:rsid w:val="00147494"/>
    <w:pPr>
      <w:jc w:val="both"/>
    </w:pPr>
    <w:rPr>
      <w:rFonts w:ascii="Times New Roman" w:eastAsia="Times New Roman" w:hAnsi="Times New Roman" w:cs="Times New Roman"/>
      <w:sz w:val="28"/>
      <w:szCs w:val="20"/>
      <w:lang w:val="uk-UA" w:eastAsia="x-none"/>
    </w:rPr>
  </w:style>
  <w:style w:type="character" w:customStyle="1" w:styleId="ad">
    <w:name w:val="Основной текст Знак"/>
    <w:basedOn w:val="a0"/>
    <w:link w:val="ac"/>
    <w:uiPriority w:val="99"/>
    <w:rsid w:val="00147494"/>
    <w:rPr>
      <w:rFonts w:ascii="Times New Roman" w:eastAsia="Times New Roman" w:hAnsi="Times New Roman" w:cs="Times New Roman"/>
      <w:sz w:val="28"/>
      <w:szCs w:val="20"/>
      <w:lang w:val="uk-UA" w:eastAsia="x-none"/>
    </w:rPr>
  </w:style>
  <w:style w:type="paragraph" w:styleId="ae">
    <w:name w:val="Body Text Indent"/>
    <w:basedOn w:val="a"/>
    <w:link w:val="af"/>
    <w:semiHidden/>
    <w:unhideWhenUsed/>
    <w:rsid w:val="00147494"/>
    <w:pPr>
      <w:ind w:firstLine="720"/>
      <w:jc w:val="both"/>
    </w:pPr>
    <w:rPr>
      <w:rFonts w:ascii="Times New Roman" w:eastAsia="Times New Roman" w:hAnsi="Times New Roman" w:cs="Times New Roman"/>
      <w:sz w:val="28"/>
      <w:szCs w:val="20"/>
      <w:lang w:val="uk-UA" w:eastAsia="x-none"/>
    </w:rPr>
  </w:style>
  <w:style w:type="character" w:customStyle="1" w:styleId="af">
    <w:name w:val="Основной текст с отступом Знак"/>
    <w:basedOn w:val="a0"/>
    <w:link w:val="ae"/>
    <w:semiHidden/>
    <w:rsid w:val="00147494"/>
    <w:rPr>
      <w:rFonts w:ascii="Times New Roman" w:eastAsia="Times New Roman" w:hAnsi="Times New Roman" w:cs="Times New Roman"/>
      <w:sz w:val="28"/>
      <w:szCs w:val="20"/>
      <w:lang w:val="uk-UA" w:eastAsia="x-none"/>
    </w:rPr>
  </w:style>
  <w:style w:type="paragraph" w:styleId="21">
    <w:name w:val="Body Text 2"/>
    <w:basedOn w:val="a"/>
    <w:link w:val="22"/>
    <w:semiHidden/>
    <w:unhideWhenUsed/>
    <w:rsid w:val="00147494"/>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semiHidden/>
    <w:rsid w:val="00147494"/>
    <w:rPr>
      <w:rFonts w:ascii="Times New Roman" w:eastAsia="Times New Roman" w:hAnsi="Times New Roman" w:cs="Times New Roman"/>
      <w:sz w:val="28"/>
      <w:szCs w:val="20"/>
      <w:lang w:val="uk-UA" w:eastAsia="ru-RU"/>
    </w:rPr>
  </w:style>
  <w:style w:type="paragraph" w:styleId="23">
    <w:name w:val="Body Text Indent 2"/>
    <w:basedOn w:val="a"/>
    <w:link w:val="24"/>
    <w:semiHidden/>
    <w:unhideWhenUsed/>
    <w:rsid w:val="00147494"/>
    <w:pPr>
      <w:ind w:left="1931"/>
      <w:jc w:val="both"/>
    </w:pPr>
    <w:rPr>
      <w:rFonts w:ascii="Times New Roman" w:eastAsia="Times New Roman" w:hAnsi="Times New Roman" w:cs="Times New Roman"/>
      <w:sz w:val="28"/>
      <w:szCs w:val="20"/>
      <w:lang w:val="uk-UA" w:eastAsia="ru-RU"/>
    </w:rPr>
  </w:style>
  <w:style w:type="character" w:customStyle="1" w:styleId="24">
    <w:name w:val="Основной текст с отступом 2 Знак"/>
    <w:basedOn w:val="a0"/>
    <w:link w:val="23"/>
    <w:semiHidden/>
    <w:rsid w:val="00147494"/>
    <w:rPr>
      <w:rFonts w:ascii="Times New Roman" w:eastAsia="Times New Roman" w:hAnsi="Times New Roman" w:cs="Times New Roman"/>
      <w:sz w:val="28"/>
      <w:szCs w:val="20"/>
      <w:lang w:val="uk-UA" w:eastAsia="ru-RU"/>
    </w:rPr>
  </w:style>
  <w:style w:type="paragraph" w:styleId="31">
    <w:name w:val="Body Text Indent 3"/>
    <w:basedOn w:val="a"/>
    <w:link w:val="32"/>
    <w:semiHidden/>
    <w:unhideWhenUsed/>
    <w:rsid w:val="00147494"/>
    <w:pPr>
      <w:spacing w:after="120"/>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semiHidden/>
    <w:rsid w:val="00147494"/>
    <w:rPr>
      <w:rFonts w:ascii="Times New Roman" w:eastAsia="Times New Roman" w:hAnsi="Times New Roman" w:cs="Times New Roman"/>
      <w:sz w:val="16"/>
      <w:szCs w:val="16"/>
      <w:lang w:val="x-none" w:eastAsia="x-none"/>
    </w:rPr>
  </w:style>
  <w:style w:type="paragraph" w:styleId="af0">
    <w:name w:val="Balloon Text"/>
    <w:basedOn w:val="a"/>
    <w:link w:val="af1"/>
    <w:semiHidden/>
    <w:unhideWhenUsed/>
    <w:rsid w:val="00147494"/>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147494"/>
    <w:rPr>
      <w:rFonts w:ascii="Tahoma" w:eastAsia="Times New Roman" w:hAnsi="Tahoma" w:cs="Times New Roman"/>
      <w:sz w:val="16"/>
      <w:szCs w:val="16"/>
      <w:lang w:val="x-none" w:eastAsia="x-none"/>
    </w:rPr>
  </w:style>
  <w:style w:type="character" w:customStyle="1" w:styleId="af2">
    <w:name w:val="Без интервала Знак"/>
    <w:link w:val="af3"/>
    <w:uiPriority w:val="99"/>
    <w:locked/>
    <w:rsid w:val="00147494"/>
  </w:style>
  <w:style w:type="paragraph" w:styleId="af3">
    <w:name w:val="No Spacing"/>
    <w:link w:val="af2"/>
    <w:uiPriority w:val="99"/>
    <w:qFormat/>
    <w:rsid w:val="00147494"/>
    <w:pPr>
      <w:spacing w:after="0" w:line="240" w:lineRule="auto"/>
    </w:pPr>
  </w:style>
  <w:style w:type="paragraph" w:styleId="af4">
    <w:name w:val="List Paragraph"/>
    <w:basedOn w:val="a"/>
    <w:uiPriority w:val="34"/>
    <w:qFormat/>
    <w:rsid w:val="00147494"/>
    <w:pPr>
      <w:spacing w:after="200" w:line="276" w:lineRule="auto"/>
      <w:ind w:left="720"/>
      <w:contextualSpacing/>
    </w:pPr>
    <w:rPr>
      <w:rFonts w:ascii="Calibri" w:eastAsia="Calibri" w:hAnsi="Calibri" w:cs="Times New Roman"/>
    </w:rPr>
  </w:style>
  <w:style w:type="paragraph" w:customStyle="1" w:styleId="af5">
    <w:name w:val="Нормальний текст"/>
    <w:basedOn w:val="a"/>
    <w:rsid w:val="00147494"/>
    <w:pPr>
      <w:spacing w:before="120"/>
      <w:ind w:firstLine="567"/>
    </w:pPr>
    <w:rPr>
      <w:rFonts w:ascii="Antiqua" w:eastAsia="Times New Roman" w:hAnsi="Antiqua" w:cs="Times New Roman"/>
      <w:sz w:val="26"/>
      <w:szCs w:val="20"/>
      <w:lang w:val="uk-UA" w:eastAsia="ru-RU"/>
    </w:rPr>
  </w:style>
  <w:style w:type="paragraph" w:customStyle="1" w:styleId="af6">
    <w:name w:val="Назва документа"/>
    <w:basedOn w:val="a"/>
    <w:next w:val="af5"/>
    <w:uiPriority w:val="99"/>
    <w:rsid w:val="00147494"/>
    <w:pPr>
      <w:keepNext/>
      <w:keepLines/>
      <w:spacing w:before="240" w:after="240"/>
      <w:jc w:val="center"/>
    </w:pPr>
    <w:rPr>
      <w:rFonts w:ascii="Antiqua" w:eastAsia="Times New Roman" w:hAnsi="Antiqua" w:cs="Times New Roman"/>
      <w:b/>
      <w:sz w:val="26"/>
      <w:szCs w:val="20"/>
      <w:lang w:val="uk-UA" w:eastAsia="ru-RU"/>
    </w:rPr>
  </w:style>
  <w:style w:type="paragraph" w:customStyle="1" w:styleId="NoSpacing">
    <w:name w:val="No Spacing"/>
    <w:rsid w:val="00147494"/>
    <w:pPr>
      <w:spacing w:after="0" w:line="240" w:lineRule="auto"/>
    </w:pPr>
    <w:rPr>
      <w:rFonts w:ascii="Times New Roman" w:eastAsia="Calibri" w:hAnsi="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147494"/>
    <w:rPr>
      <w:rFonts w:ascii="Verdana" w:eastAsia="Times New Roman" w:hAnsi="Verdana" w:cs="Verdana"/>
      <w:sz w:val="20"/>
      <w:szCs w:val="20"/>
      <w:lang w:val="en-US"/>
    </w:rPr>
  </w:style>
  <w:style w:type="character" w:customStyle="1" w:styleId="12">
    <w:name w:val="Заголовок №1_"/>
    <w:link w:val="13"/>
    <w:locked/>
    <w:rsid w:val="00147494"/>
    <w:rPr>
      <w:b/>
      <w:bCs/>
      <w:shd w:val="clear" w:color="auto" w:fill="FFFFFF"/>
    </w:rPr>
  </w:style>
  <w:style w:type="paragraph" w:customStyle="1" w:styleId="13">
    <w:name w:val="Заголовок №1"/>
    <w:basedOn w:val="a"/>
    <w:link w:val="12"/>
    <w:rsid w:val="00147494"/>
    <w:pPr>
      <w:widowControl w:val="0"/>
      <w:shd w:val="clear" w:color="auto" w:fill="FFFFFF"/>
      <w:spacing w:after="240" w:line="274" w:lineRule="exact"/>
      <w:ind w:hanging="1580"/>
      <w:jc w:val="center"/>
      <w:outlineLvl w:val="0"/>
    </w:pPr>
    <w:rPr>
      <w:b/>
      <w:bCs/>
    </w:rPr>
  </w:style>
  <w:style w:type="character" w:customStyle="1" w:styleId="af7">
    <w:name w:val="Подпись к таблице_"/>
    <w:link w:val="af8"/>
    <w:locked/>
    <w:rsid w:val="00147494"/>
    <w:rPr>
      <w:shd w:val="clear" w:color="auto" w:fill="FFFFFF"/>
    </w:rPr>
  </w:style>
  <w:style w:type="paragraph" w:customStyle="1" w:styleId="af8">
    <w:name w:val="Подпись к таблице"/>
    <w:basedOn w:val="a"/>
    <w:link w:val="af7"/>
    <w:rsid w:val="00147494"/>
    <w:pPr>
      <w:widowControl w:val="0"/>
      <w:shd w:val="clear" w:color="auto" w:fill="FFFFFF"/>
      <w:spacing w:line="240" w:lineRule="atLeast"/>
    </w:pPr>
  </w:style>
  <w:style w:type="character" w:customStyle="1" w:styleId="25">
    <w:name w:val="Основной текст (2)_"/>
    <w:link w:val="210"/>
    <w:locked/>
    <w:rsid w:val="00147494"/>
    <w:rPr>
      <w:b/>
      <w:bCs/>
      <w:shd w:val="clear" w:color="auto" w:fill="FFFFFF"/>
    </w:rPr>
  </w:style>
  <w:style w:type="paragraph" w:customStyle="1" w:styleId="210">
    <w:name w:val="Основной текст (2)1"/>
    <w:basedOn w:val="a"/>
    <w:link w:val="25"/>
    <w:rsid w:val="00147494"/>
    <w:pPr>
      <w:widowControl w:val="0"/>
      <w:shd w:val="clear" w:color="auto" w:fill="FFFFFF"/>
      <w:spacing w:line="274" w:lineRule="exact"/>
    </w:pPr>
    <w:rPr>
      <w:b/>
      <w:bCs/>
    </w:rPr>
  </w:style>
  <w:style w:type="paragraph" w:customStyle="1" w:styleId="14">
    <w:name w:val="Знак Знак1 Знак"/>
    <w:basedOn w:val="a"/>
    <w:rsid w:val="00147494"/>
    <w:rPr>
      <w:rFonts w:ascii="Verdana" w:eastAsia="Times New Roman" w:hAnsi="Verdana" w:cs="Verdana"/>
      <w:sz w:val="20"/>
      <w:szCs w:val="20"/>
      <w:lang w:val="en-US"/>
    </w:rPr>
  </w:style>
  <w:style w:type="paragraph" w:customStyle="1" w:styleId="rvps2">
    <w:name w:val="rvps2"/>
    <w:basedOn w:val="a"/>
    <w:rsid w:val="0014749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6">
    <w:name w:val="Подпись к таблице (2)_"/>
    <w:link w:val="27"/>
    <w:locked/>
    <w:rsid w:val="00147494"/>
    <w:rPr>
      <w:b/>
      <w:bCs/>
      <w:shd w:val="clear" w:color="auto" w:fill="FFFFFF"/>
    </w:rPr>
  </w:style>
  <w:style w:type="paragraph" w:customStyle="1" w:styleId="27">
    <w:name w:val="Подпись к таблице (2)"/>
    <w:basedOn w:val="a"/>
    <w:link w:val="26"/>
    <w:rsid w:val="00147494"/>
    <w:pPr>
      <w:widowControl w:val="0"/>
      <w:shd w:val="clear" w:color="auto" w:fill="FFFFFF"/>
      <w:spacing w:line="240" w:lineRule="atLeast"/>
    </w:pPr>
    <w:rPr>
      <w:b/>
      <w:bCs/>
    </w:rPr>
  </w:style>
  <w:style w:type="paragraph" w:customStyle="1" w:styleId="33">
    <w:name w:val="Основной текст3"/>
    <w:basedOn w:val="a"/>
    <w:uiPriority w:val="99"/>
    <w:rsid w:val="00147494"/>
    <w:pPr>
      <w:widowControl w:val="0"/>
      <w:shd w:val="clear" w:color="auto" w:fill="FFFFFF"/>
      <w:spacing w:line="266" w:lineRule="exact"/>
    </w:pPr>
    <w:rPr>
      <w:rFonts w:ascii="Times New Roman" w:eastAsia="Times New Roman" w:hAnsi="Times New Roman" w:cs="Times New Roman"/>
      <w:color w:val="000000"/>
      <w:sz w:val="23"/>
      <w:szCs w:val="23"/>
      <w:lang w:val="uk-UA" w:eastAsia="ru-RU"/>
    </w:rPr>
  </w:style>
  <w:style w:type="character" w:customStyle="1" w:styleId="StyleZakonu">
    <w:name w:val="StyleZakonu Знак"/>
    <w:link w:val="StyleZakonu0"/>
    <w:uiPriority w:val="99"/>
    <w:locked/>
    <w:rsid w:val="00147494"/>
    <w:rPr>
      <w:lang w:val="x-none"/>
    </w:rPr>
  </w:style>
  <w:style w:type="paragraph" w:customStyle="1" w:styleId="StyleZakonu0">
    <w:name w:val="StyleZakonu"/>
    <w:basedOn w:val="a"/>
    <w:link w:val="StyleZakonu"/>
    <w:uiPriority w:val="99"/>
    <w:rsid w:val="00147494"/>
    <w:pPr>
      <w:spacing w:after="60" w:line="220" w:lineRule="exact"/>
      <w:ind w:firstLine="284"/>
      <w:jc w:val="both"/>
    </w:pPr>
    <w:rPr>
      <w:lang w:val="x-none"/>
    </w:rPr>
  </w:style>
  <w:style w:type="character" w:customStyle="1" w:styleId="FontStyle20">
    <w:name w:val="Font Style20"/>
    <w:rsid w:val="00147494"/>
    <w:rPr>
      <w:rFonts w:ascii="Times New Roman" w:hAnsi="Times New Roman" w:cs="Times New Roman" w:hint="default"/>
      <w:sz w:val="26"/>
      <w:szCs w:val="26"/>
    </w:rPr>
  </w:style>
  <w:style w:type="character" w:customStyle="1" w:styleId="FontStyle14">
    <w:name w:val="Font Style14"/>
    <w:rsid w:val="00147494"/>
    <w:rPr>
      <w:rFonts w:ascii="Times New Roman" w:hAnsi="Times New Roman" w:cs="Times New Roman" w:hint="default"/>
      <w:sz w:val="26"/>
      <w:szCs w:val="26"/>
    </w:rPr>
  </w:style>
  <w:style w:type="character" w:customStyle="1" w:styleId="28">
    <w:name w:val="Стиль2"/>
    <w:rsid w:val="00147494"/>
  </w:style>
  <w:style w:type="character" w:customStyle="1" w:styleId="rvts23">
    <w:name w:val="rvts23"/>
    <w:rsid w:val="00147494"/>
  </w:style>
  <w:style w:type="character" w:customStyle="1" w:styleId="rvts82">
    <w:name w:val="rvts82"/>
    <w:rsid w:val="00147494"/>
  </w:style>
  <w:style w:type="character" w:customStyle="1" w:styleId="Strong">
    <w:name w:val="Strong"/>
    <w:rsid w:val="00147494"/>
    <w:rPr>
      <w:b/>
      <w:bCs/>
    </w:rPr>
  </w:style>
  <w:style w:type="character" w:customStyle="1" w:styleId="29">
    <w:name w:val="Основной текст (2)"/>
    <w:rsid w:val="00147494"/>
    <w:rPr>
      <w:rFonts w:ascii="Times New Roman" w:hAnsi="Times New Roman" w:cs="Times New Roman" w:hint="default"/>
      <w:b/>
      <w:bCs/>
      <w:sz w:val="22"/>
      <w:szCs w:val="22"/>
      <w:u w:val="single"/>
    </w:rPr>
  </w:style>
  <w:style w:type="character" w:customStyle="1" w:styleId="2a">
    <w:name w:val="Основной текст (2) + Не полужирный"/>
    <w:rsid w:val="00147494"/>
  </w:style>
  <w:style w:type="character" w:customStyle="1" w:styleId="apple-converted-space">
    <w:name w:val="apple-converted-space"/>
    <w:rsid w:val="00147494"/>
  </w:style>
  <w:style w:type="character" w:customStyle="1" w:styleId="af9">
    <w:name w:val="Основной текст + Полужирный"/>
    <w:rsid w:val="00147494"/>
    <w:rPr>
      <w:rFonts w:ascii="Times New Roman" w:hAnsi="Times New Roman" w:cs="Times New Roman" w:hint="default"/>
      <w:b/>
      <w:bCs/>
      <w:sz w:val="22"/>
      <w:szCs w:val="22"/>
      <w:u w:val="single"/>
    </w:rPr>
  </w:style>
  <w:style w:type="character" w:customStyle="1" w:styleId="15">
    <w:name w:val="Основной текст + Полужирный1"/>
    <w:rsid w:val="00147494"/>
    <w:rPr>
      <w:rFonts w:ascii="Times New Roman" w:hAnsi="Times New Roman" w:cs="Times New Roman" w:hint="default"/>
      <w:b/>
      <w:bCs/>
      <w:strike w:val="0"/>
      <w:dstrike w:val="0"/>
      <w:sz w:val="22"/>
      <w:szCs w:val="22"/>
      <w:u w:val="none"/>
      <w:effect w:val="none"/>
    </w:rPr>
  </w:style>
  <w:style w:type="character" w:customStyle="1" w:styleId="afa">
    <w:name w:val="Колонтитул"/>
    <w:rsid w:val="00147494"/>
    <w:rPr>
      <w:rFonts w:ascii="Times New Roman" w:hAnsi="Times New Roman" w:cs="Times New Roman" w:hint="default"/>
      <w:strike w:val="0"/>
      <w:dstrike w:val="0"/>
      <w:noProof/>
      <w:sz w:val="22"/>
      <w:szCs w:val="22"/>
      <w:u w:val="none"/>
      <w:effect w:val="none"/>
    </w:rPr>
  </w:style>
  <w:style w:type="table" w:styleId="afb">
    <w:name w:val="Table Grid"/>
    <w:basedOn w:val="a1"/>
    <w:rsid w:val="001474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14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5627</Words>
  <Characters>32075</Characters>
  <Application>Microsoft Office Word</Application>
  <DocSecurity>0</DocSecurity>
  <Lines>267</Lines>
  <Paragraphs>75</Paragraphs>
  <ScaleCrop>false</ScaleCrop>
  <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2021-05-28T07:34:00Z</dcterms:created>
  <dcterms:modified xsi:type="dcterms:W3CDTF">2021-05-28T07:36:00Z</dcterms:modified>
</cp:coreProperties>
</file>