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55" w:rsidRDefault="002F2455" w:rsidP="002F24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CBA891" wp14:editId="500EB65D">
            <wp:simplePos x="0" y="0"/>
            <wp:positionH relativeFrom="column">
              <wp:posOffset>2814955</wp:posOffset>
            </wp:positionH>
            <wp:positionV relativeFrom="paragraph">
              <wp:posOffset>-555625</wp:posOffset>
            </wp:positionV>
            <wp:extent cx="415925" cy="571500"/>
            <wp:effectExtent l="0" t="0" r="3175" b="0"/>
            <wp:wrapNone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УКРАЇНА</w:t>
      </w:r>
    </w:p>
    <w:p w:rsidR="002F2455" w:rsidRDefault="002F2455" w:rsidP="002F245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МОСТІВСЬКА СІЛЬСЬКА РАДА</w:t>
      </w:r>
    </w:p>
    <w:p w:rsidR="002F2455" w:rsidRDefault="002F2455" w:rsidP="002F245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ДОМАНІВСЬКОГО РАЙОНУ </w:t>
      </w:r>
    </w:p>
    <w:p w:rsidR="002F2455" w:rsidRDefault="002F2455" w:rsidP="002F245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МИКОЛАЇВСЬКОЇ ОБЛАСТІ</w:t>
      </w:r>
    </w:p>
    <w:p w:rsidR="002F2455" w:rsidRDefault="002F2455" w:rsidP="002F2455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F2455" w:rsidRDefault="002F2455" w:rsidP="002F2455">
      <w:pPr>
        <w:tabs>
          <w:tab w:val="center" w:pos="4677"/>
        </w:tabs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 № 2</w:t>
      </w:r>
    </w:p>
    <w:p w:rsidR="002F2455" w:rsidRDefault="002F2455" w:rsidP="002F2455">
      <w:pPr>
        <w:tabs>
          <w:tab w:val="center" w:pos="4677"/>
        </w:tabs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2F2455" w:rsidRDefault="002F2455" w:rsidP="002F2455">
      <w:pPr>
        <w:tabs>
          <w:tab w:val="center" w:pos="4677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в</w:t>
      </w:r>
      <w:r>
        <w:rPr>
          <w:rFonts w:ascii="Times New Roman" w:hAnsi="Times New Roman"/>
          <w:sz w:val="24"/>
          <w:szCs w:val="24"/>
          <w:lang w:val="uk-UA"/>
        </w:rPr>
        <w:t xml:space="preserve">ід 20 грудня   2019  року                       XXXXIІ позачергова сесії 8 скликання  </w:t>
      </w:r>
    </w:p>
    <w:p w:rsidR="002F2455" w:rsidRDefault="002F2455" w:rsidP="002F2455">
      <w:pPr>
        <w:tabs>
          <w:tab w:val="center" w:pos="467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с. Мостове                                                                                                                 </w:t>
      </w:r>
    </w:p>
    <w:p w:rsidR="002F2455" w:rsidRDefault="002F2455" w:rsidP="002F2455">
      <w:pPr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F2455" w:rsidRDefault="002F2455" w:rsidP="002F2455">
      <w:pPr>
        <w:tabs>
          <w:tab w:val="center" w:pos="4677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2F2455" w:rsidRDefault="002F2455" w:rsidP="002F2455">
      <w:pPr>
        <w:shd w:val="clear" w:color="auto" w:fill="FFFFFF"/>
        <w:ind w:right="1670"/>
        <w:rPr>
          <w:sz w:val="28"/>
          <w:szCs w:val="28"/>
          <w:lang w:val="uk-UA"/>
        </w:rPr>
      </w:pPr>
    </w:p>
    <w:p w:rsidR="002F2455" w:rsidRDefault="002F2455" w:rsidP="002F2455">
      <w:pPr>
        <w:shd w:val="clear" w:color="auto" w:fill="FFFFFF"/>
        <w:ind w:right="1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затвердження </w:t>
      </w:r>
    </w:p>
    <w:p w:rsidR="002F2455" w:rsidRDefault="002F2455" w:rsidP="002F2455">
      <w:pPr>
        <w:shd w:val="clear" w:color="auto" w:fill="FFFFFF"/>
        <w:ind w:right="1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Програми  покращення пожежної безпеки</w:t>
      </w:r>
    </w:p>
    <w:p w:rsidR="002F2455" w:rsidRDefault="002F2455" w:rsidP="002F2455">
      <w:pPr>
        <w:shd w:val="clear" w:color="auto" w:fill="FFFFFF"/>
        <w:ind w:right="1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 закладах освіти Мостівської</w:t>
      </w:r>
    </w:p>
    <w:p w:rsidR="002F2455" w:rsidRDefault="002F2455" w:rsidP="002F2455">
      <w:pPr>
        <w:shd w:val="clear" w:color="auto" w:fill="FFFFFF"/>
        <w:ind w:right="14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сільської ради на 2020-2023роки</w:t>
      </w:r>
    </w:p>
    <w:p w:rsidR="002F2455" w:rsidRDefault="002F2455" w:rsidP="002F2455">
      <w:pPr>
        <w:shd w:val="clear" w:color="auto" w:fill="FFFFFF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shd w:val="clear" w:color="auto" w:fill="FFFFFF"/>
        <w:ind w:firstLine="494"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uk-UA" w:eastAsia="ru-RU"/>
        </w:rPr>
        <w:t xml:space="preserve">Відповідно до вимог пункту 1 частини першої статті 44 Закону України “Про місцеве самоврядування в Україні”, пункту 4 частини першої статті 19 Кодексу цивільного захисту України з метою забезпечення пожежної безпеки, обладнання будівель, приміщень і споруд закладів освіти, системами протипожежного захисту (пожежна сигналізація, оповіщення про пожежу, захист від блискавки тощо), а також проведення вогнезахисного оброблення дерев’яних конструкцій будинків і споруд для забезпечення швидкого виявлення пожежі, повідомлення (оповіщення) про неї та оперативній евакуації людей на ранній стадії виникнення пожежі, Мостівська </w:t>
      </w:r>
      <w:r>
        <w:rPr>
          <w:rFonts w:ascii="Times New Roman" w:eastAsia="Times New Roman" w:hAnsi="Times New Roman"/>
          <w:bCs/>
          <w:color w:val="000000"/>
          <w:spacing w:val="14"/>
          <w:sz w:val="24"/>
          <w:szCs w:val="24"/>
          <w:lang w:val="uk-UA" w:eastAsia="ru-RU"/>
        </w:rPr>
        <w:t xml:space="preserve">сільська рада </w:t>
      </w:r>
    </w:p>
    <w:p w:rsidR="002F2455" w:rsidRDefault="002F2455" w:rsidP="002F2455">
      <w:pPr>
        <w:shd w:val="clear" w:color="auto" w:fill="FFFFFF"/>
        <w:ind w:firstLine="494"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uk-UA" w:eastAsia="ru-RU"/>
        </w:rPr>
      </w:pP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4"/>
          <w:sz w:val="24"/>
          <w:szCs w:val="24"/>
          <w:lang w:val="uk-UA" w:eastAsia="ru-RU"/>
        </w:rPr>
        <w:t>ВИРІШИЛА:</w:t>
      </w:r>
    </w:p>
    <w:p w:rsidR="002F2455" w:rsidRDefault="002F2455" w:rsidP="002F2455">
      <w:pPr>
        <w:numPr>
          <w:ilvl w:val="0"/>
          <w:numId w:val="1"/>
        </w:numPr>
        <w:shd w:val="clear" w:color="auto" w:fill="FFFFFF"/>
        <w:ind w:right="-1"/>
        <w:contextualSpacing/>
        <w:jc w:val="both"/>
        <w:rPr>
          <w:rFonts w:ascii="Times New Roman" w:eastAsia="Times New Roman" w:hAnsi="Times New Roman"/>
          <w:bCs/>
          <w:color w:val="000000"/>
          <w:spacing w:val="8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8"/>
          <w:sz w:val="24"/>
          <w:szCs w:val="24"/>
          <w:lang w:val="uk-UA" w:eastAsia="ru-RU"/>
        </w:rPr>
        <w:t xml:space="preserve">Затвердити Програму   покращення пожежної безпеки в закладах освіти Мостівської сільської ради на 2020-2023роки 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(далі – Програма), що  додається.</w:t>
      </w:r>
    </w:p>
    <w:p w:rsidR="002F2455" w:rsidRDefault="002F2455" w:rsidP="002F2455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pacing w:val="8"/>
          <w:sz w:val="24"/>
          <w:szCs w:val="24"/>
          <w:lang w:val="uk-UA" w:eastAsia="ru-RU"/>
        </w:rPr>
      </w:pP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val="uk-UA" w:eastAsia="ru-RU"/>
        </w:rPr>
        <w:t xml:space="preserve">          2. Фінансування Програми здійснювати 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 рахунок коштів місцевих бюджетів та інших джерел, не заборонених чинним законодавством України.</w:t>
      </w: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bCs/>
          <w:spacing w:val="5"/>
          <w:sz w:val="24"/>
          <w:szCs w:val="24"/>
          <w:lang w:val="uk-UA" w:eastAsia="ru-RU"/>
        </w:rPr>
      </w:pP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pacing w:val="5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3.  Контроль за виконанням даного рішення покласти на постійну комісію сільської ради з   питань прав людини, законності, правопорядку, депутатської діяльності,етики, освіти, фізичного виховання, культури,охорони здоров’я  та соціальної політики.</w:t>
      </w: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F2455" w:rsidRDefault="002F2455" w:rsidP="002F2455">
      <w:pPr>
        <w:suppressAutoHyphens/>
        <w:jc w:val="both"/>
        <w:rPr>
          <w:rFonts w:ascii="Times New Roman" w:eastAsia="Lucida Sans Unicode" w:hAnsi="Times New Roman"/>
          <w:b/>
          <w:sz w:val="24"/>
          <w:szCs w:val="24"/>
          <w:lang w:val="uk-UA" w:eastAsia="ru-RU"/>
        </w:rPr>
      </w:pPr>
      <w:r>
        <w:rPr>
          <w:rFonts w:ascii="Times New Roman" w:eastAsia="Lucida Sans Unicode" w:hAnsi="Times New Roman"/>
          <w:b/>
          <w:sz w:val="24"/>
          <w:szCs w:val="24"/>
          <w:lang w:val="uk-UA" w:eastAsia="ru-RU"/>
        </w:rPr>
        <w:t>Сільський голова                                                        Надія  БАБАНСЬКА</w:t>
      </w:r>
    </w:p>
    <w:p w:rsidR="002F2455" w:rsidRDefault="002F2455" w:rsidP="002F2455">
      <w:pPr>
        <w:suppressAutoHyphens/>
        <w:jc w:val="both"/>
        <w:rPr>
          <w:rFonts w:ascii="Times New Roman" w:eastAsia="Lucida Sans Unicode" w:hAnsi="Times New Roman"/>
          <w:b/>
          <w:sz w:val="24"/>
          <w:szCs w:val="24"/>
          <w:lang w:val="uk-UA" w:eastAsia="ru-RU"/>
        </w:rPr>
      </w:pPr>
    </w:p>
    <w:p w:rsidR="002F2455" w:rsidRDefault="002F2455" w:rsidP="002F2455">
      <w:pPr>
        <w:suppressAutoHyphens/>
        <w:jc w:val="both"/>
        <w:rPr>
          <w:rFonts w:ascii="Times New Roman" w:eastAsia="Lucida Sans Unicode" w:hAnsi="Times New Roman"/>
          <w:b/>
          <w:sz w:val="24"/>
          <w:szCs w:val="24"/>
          <w:lang w:val="uk-UA" w:eastAsia="ru-RU"/>
        </w:rPr>
      </w:pPr>
      <w:r>
        <w:rPr>
          <w:rFonts w:ascii="Times New Roman" w:eastAsia="Lucida Sans Unicode" w:hAnsi="Times New Roman"/>
          <w:b/>
          <w:sz w:val="24"/>
          <w:szCs w:val="24"/>
          <w:lang w:val="uk-UA" w:eastAsia="ru-RU"/>
        </w:rPr>
        <w:t xml:space="preserve"> </w:t>
      </w:r>
    </w:p>
    <w:p w:rsidR="002F2455" w:rsidRDefault="002F2455" w:rsidP="002F2455">
      <w:pPr>
        <w:suppressAutoHyphens/>
        <w:ind w:left="709"/>
        <w:jc w:val="both"/>
        <w:rPr>
          <w:rFonts w:ascii="Times New Roman" w:eastAsia="Lucida Sans Unicode" w:hAnsi="Times New Roman"/>
          <w:b/>
          <w:sz w:val="24"/>
          <w:szCs w:val="24"/>
          <w:lang w:val="uk-UA" w:eastAsia="ru-RU"/>
        </w:rPr>
      </w:pPr>
    </w:p>
    <w:p w:rsidR="002F2455" w:rsidRDefault="002F2455" w:rsidP="002F2455">
      <w:pPr>
        <w:suppressAutoHyphens/>
        <w:ind w:left="709"/>
        <w:jc w:val="both"/>
        <w:rPr>
          <w:rFonts w:ascii="Times New Roman" w:eastAsia="Lucida Sans Unicode" w:hAnsi="Times New Roman"/>
          <w:b/>
          <w:sz w:val="24"/>
          <w:szCs w:val="24"/>
          <w:lang w:val="uk-UA" w:eastAsia="ru-RU"/>
        </w:rPr>
      </w:pPr>
    </w:p>
    <w:p w:rsidR="002F2455" w:rsidRDefault="002F2455" w:rsidP="002F2455">
      <w:pPr>
        <w:suppressAutoHyphens/>
        <w:ind w:left="709"/>
        <w:jc w:val="both"/>
        <w:rPr>
          <w:rFonts w:ascii="Times New Roman" w:eastAsia="Lucida Sans Unicode" w:hAnsi="Times New Roman"/>
          <w:b/>
          <w:sz w:val="24"/>
          <w:szCs w:val="24"/>
          <w:lang w:val="uk-UA" w:eastAsia="ru-RU"/>
        </w:rPr>
      </w:pPr>
    </w:p>
    <w:p w:rsidR="002F2455" w:rsidRDefault="002F2455" w:rsidP="002F2455">
      <w:pPr>
        <w:suppressAutoHyphens/>
        <w:ind w:left="709"/>
        <w:jc w:val="both"/>
        <w:rPr>
          <w:rFonts w:ascii="Times New Roman" w:eastAsia="Lucida Sans Unicode" w:hAnsi="Times New Roman"/>
          <w:b/>
          <w:sz w:val="24"/>
          <w:szCs w:val="24"/>
          <w:lang w:val="uk-UA" w:eastAsia="ru-RU"/>
        </w:rPr>
      </w:pPr>
    </w:p>
    <w:p w:rsidR="002F2455" w:rsidRDefault="002F2455" w:rsidP="002F2455">
      <w:pPr>
        <w:suppressAutoHyphens/>
        <w:ind w:left="709"/>
        <w:jc w:val="both"/>
        <w:rPr>
          <w:rFonts w:ascii="Times New Roman" w:eastAsia="Lucida Sans Unicode" w:hAnsi="Times New Roman"/>
          <w:b/>
          <w:sz w:val="24"/>
          <w:szCs w:val="24"/>
          <w:lang w:val="uk-UA" w:eastAsia="ru-RU"/>
        </w:rPr>
      </w:pPr>
    </w:p>
    <w:p w:rsidR="002F2455" w:rsidRDefault="002F2455" w:rsidP="002F2455">
      <w:pPr>
        <w:suppressAutoHyphens/>
        <w:ind w:left="709"/>
        <w:jc w:val="both"/>
        <w:rPr>
          <w:rFonts w:ascii="Times New Roman" w:eastAsia="Lucida Sans Unicode" w:hAnsi="Times New Roman"/>
          <w:b/>
          <w:sz w:val="24"/>
          <w:szCs w:val="24"/>
          <w:lang w:val="uk-UA" w:eastAsia="ru-RU"/>
        </w:rPr>
      </w:pPr>
    </w:p>
    <w:p w:rsidR="002F2455" w:rsidRDefault="002F2455" w:rsidP="002F2455">
      <w:pPr>
        <w:suppressAutoHyphens/>
        <w:ind w:left="709"/>
        <w:jc w:val="both"/>
        <w:rPr>
          <w:rFonts w:ascii="Times New Roman" w:eastAsia="Lucida Sans Unicode" w:hAnsi="Times New Roman"/>
          <w:b/>
          <w:sz w:val="24"/>
          <w:szCs w:val="24"/>
          <w:lang w:val="uk-UA" w:eastAsia="ru-RU"/>
        </w:rPr>
      </w:pPr>
    </w:p>
    <w:p w:rsidR="002F2455" w:rsidRDefault="002F2455" w:rsidP="002F2455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76F902" wp14:editId="723B98CA">
            <wp:simplePos x="0" y="0"/>
            <wp:positionH relativeFrom="column">
              <wp:posOffset>2814955</wp:posOffset>
            </wp:positionH>
            <wp:positionV relativeFrom="paragraph">
              <wp:posOffset>-555625</wp:posOffset>
            </wp:positionV>
            <wp:extent cx="415925" cy="5715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УКРАЇНА</w:t>
      </w:r>
    </w:p>
    <w:p w:rsidR="002F2455" w:rsidRDefault="002F2455" w:rsidP="002F2455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МОСТІВСЬКА СІЛЬСЬКА РАДА</w:t>
      </w:r>
    </w:p>
    <w:p w:rsidR="002F2455" w:rsidRDefault="002F2455" w:rsidP="002F2455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ДОМАНІВСЬКОГО РАЙОНУ </w:t>
      </w:r>
    </w:p>
    <w:p w:rsidR="002F2455" w:rsidRDefault="002F2455" w:rsidP="002F2455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МИКОЛАЇВСЬКОЇ ОБЛАСТІ</w:t>
      </w:r>
    </w:p>
    <w:p w:rsidR="002F2455" w:rsidRDefault="002F2455" w:rsidP="002F2455">
      <w:pPr>
        <w:tabs>
          <w:tab w:val="center" w:pos="467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2F2455" w:rsidRDefault="002F2455" w:rsidP="002F2455">
      <w:pPr>
        <w:tabs>
          <w:tab w:val="center" w:pos="4677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 № 3</w:t>
      </w:r>
    </w:p>
    <w:p w:rsidR="002F2455" w:rsidRDefault="002F2455" w:rsidP="002F2455">
      <w:pPr>
        <w:tabs>
          <w:tab w:val="center" w:pos="4677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tabs>
          <w:tab w:val="center" w:pos="467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від  20 грудня  2019  року                      XXXXІI   позачергової сесії  8 скликання</w:t>
      </w:r>
    </w:p>
    <w:p w:rsidR="002F2455" w:rsidRDefault="002F2455" w:rsidP="002F2455">
      <w:pPr>
        <w:tabs>
          <w:tab w:val="center" w:pos="467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с. Мостове                                                                                                                 </w:t>
      </w: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внесення змін до штатних розписів </w:t>
      </w: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закладів  загальної середньої освіти</w:t>
      </w: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Мостівської  сільської ради</w:t>
      </w: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Відповідно до п. 5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статті 26 Закону України «Про місцеве самоврядування в Україні», наказу  МОН України  №1205 від 05.12.2010 «Про затвердження Типових штатних нормативів закладів загальної середньої освіти» зі змінами від  01.02.2018р.  №90 , заслухавши сільського голову щодо внесення змін до структури  закладів  загальної середньої освіти   Мостівської сільської ради , сільська рада</w:t>
      </w: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В И Р І Ш И Л А:</w:t>
      </w: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1.Внести до  штату Лідіївської ЗОШ І-ІІ ступенів   Мостівської сільської ради:</w:t>
      </w: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 0,5 ставки посади кочегара сезонного та  0,5 ставки прибиральниці</w:t>
      </w: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01 .01.2020р.  .</w:t>
      </w: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 Начальнику відділу освіти, молоді та спорту виконавчого органу Мостівської сільської ради Савченко А.В. внести зміни до штатного розпису   Лідіївської ЗОШ І-ІІ ступенів.</w:t>
      </w: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3. Контроль за виконанням даного рішення покласти на комісію з питань прав людини, законності, правопорядку, депутатської діяльності,етики, освіти, фізичного виховання, культури,охорони здоров’я  та соціальної політики.</w:t>
      </w: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F2455" w:rsidRDefault="002F2455" w:rsidP="002F2455">
      <w:pPr>
        <w:shd w:val="clear" w:color="auto" w:fill="FFFFFF"/>
        <w:ind w:left="426"/>
        <w:rPr>
          <w:rFonts w:ascii="Times New Roman" w:eastAsia="Times New Roman" w:hAnsi="Times New Roman"/>
          <w:sz w:val="24"/>
          <w:szCs w:val="24"/>
          <w:shd w:val="clear" w:color="auto" w:fill="FFFDDD"/>
          <w:lang w:val="uk-UA" w:eastAsia="ru-RU"/>
        </w:rPr>
      </w:pP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Сільський голова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Надія БАБАНСЬКА </w:t>
      </w: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F2455" w:rsidRDefault="002F2455" w:rsidP="002F245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455" w:rsidRDefault="002F2455" w:rsidP="002F2455">
      <w:pPr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F2455" w:rsidRDefault="002F2455" w:rsidP="002F2455">
      <w:pPr>
        <w:tabs>
          <w:tab w:val="center" w:pos="4677"/>
        </w:tabs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shd w:val="clear" w:color="auto" w:fill="FFFFFF"/>
        <w:spacing w:line="315" w:lineRule="atLeast"/>
        <w:ind w:left="4253"/>
        <w:jc w:val="right"/>
        <w:textAlignment w:val="baseline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val="uk-UA" w:eastAsia="ru-RU"/>
        </w:rPr>
        <w:lastRenderedPageBreak/>
        <w:t>ЗАТВЕРДЖЕНО:</w:t>
      </w:r>
    </w:p>
    <w:p w:rsidR="002F2455" w:rsidRDefault="002F2455" w:rsidP="002F2455">
      <w:pPr>
        <w:shd w:val="clear" w:color="auto" w:fill="FFFFFF"/>
        <w:spacing w:line="315" w:lineRule="atLeast"/>
        <w:ind w:left="4253"/>
        <w:jc w:val="righ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Рішенням 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XXXXII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позачергової сесії </w:t>
      </w:r>
    </w:p>
    <w:p w:rsidR="002F2455" w:rsidRDefault="002F2455" w:rsidP="002F2455">
      <w:pPr>
        <w:shd w:val="clear" w:color="auto" w:fill="FFFFFF"/>
        <w:spacing w:line="315" w:lineRule="atLeast"/>
        <w:ind w:left="4253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8 скликання</w:t>
      </w:r>
    </w:p>
    <w:p w:rsidR="002F2455" w:rsidRDefault="002F2455" w:rsidP="002F2455">
      <w:pPr>
        <w:shd w:val="clear" w:color="auto" w:fill="FFFFFF"/>
        <w:spacing w:line="315" w:lineRule="atLeast"/>
        <w:ind w:left="4253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від  20.12.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9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р. №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2</w:t>
      </w:r>
    </w:p>
    <w:p w:rsidR="002F2455" w:rsidRDefault="002F2455" w:rsidP="002F2455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 </w:t>
      </w:r>
    </w:p>
    <w:p w:rsidR="002F2455" w:rsidRDefault="002F2455" w:rsidP="002F245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 </w:t>
      </w:r>
    </w:p>
    <w:p w:rsidR="002F2455" w:rsidRDefault="002F2455" w:rsidP="002F245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ПРОГРАМА</w:t>
      </w:r>
    </w:p>
    <w:p w:rsidR="002F2455" w:rsidRDefault="002F2455" w:rsidP="002F245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val="uk-UA" w:eastAsia="ru-RU"/>
        </w:rPr>
        <w:t xml:space="preserve">покращення 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ПОЖЕЖНОЇ БЕЗПЕКИ В ЗАКЛАДАХ ОСВІТИ</w:t>
      </w:r>
    </w:p>
    <w:p w:rsidR="002F2455" w:rsidRDefault="002F2455" w:rsidP="002F245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val="uk-UA" w:eastAsia="ru-RU"/>
        </w:rPr>
        <w:t xml:space="preserve">остівської сільської </w:t>
      </w:r>
      <w:proofErr w:type="gramStart"/>
      <w:r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val="uk-UA" w:eastAsia="ru-RU"/>
        </w:rPr>
        <w:t>ради</w:t>
      </w:r>
      <w:proofErr w:type="gramEnd"/>
      <w:r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val="uk-UA" w:eastAsia="ru-RU"/>
        </w:rPr>
        <w:t xml:space="preserve"> на 2020-2023 роки</w:t>
      </w: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tblInd w:w="108" w:type="dxa"/>
        <w:tblBorders>
          <w:bottom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4111"/>
      </w:tblGrid>
      <w:tr w:rsidR="002F2455" w:rsidTr="002F245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Ініціатор розроблення програми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Відділ освіти, молоді та спорту виконавчого органу Мостівської сільської ради </w:t>
            </w:r>
          </w:p>
        </w:tc>
      </w:tr>
      <w:tr w:rsidR="002F2455" w:rsidTr="002F245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Розробник програми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Відділ освіти, молоді та спорту виконавчого органу Мостівської сільської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2F2455" w:rsidTr="002F245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Відповідальний виконавець програми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Відділ освіти, молоді та спорту виконавчого органу Мостівської сільської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2F2455" w:rsidTr="002F245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Учасники програми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Заклади освіти засновані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Мостівською сільською радою </w:t>
            </w:r>
          </w:p>
        </w:tc>
      </w:tr>
      <w:tr w:rsidR="002F2455" w:rsidTr="002F245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Термін реалізації програми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–2023 роки</w:t>
            </w:r>
          </w:p>
        </w:tc>
      </w:tr>
      <w:tr w:rsidR="002F2455" w:rsidTr="002F245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Перелік місцевих бюджеті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і беруть участь у виконанні програми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Кошти  місцевих бюджетів та інших джерел, не заборонених чинним законодавством України</w:t>
            </w:r>
          </w:p>
        </w:tc>
      </w:tr>
      <w:tr w:rsidR="002F2455" w:rsidTr="002F245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Основні джерела фінансування програми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Кошти  місцевих бюджеті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інших джерел, не заборонених чинним законодавством України</w:t>
            </w:r>
          </w:p>
        </w:tc>
      </w:tr>
    </w:tbl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1. Загальні положення</w:t>
      </w:r>
    </w:p>
    <w:p w:rsidR="002F2455" w:rsidRDefault="002F2455" w:rsidP="002F245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Значущість проблеми забезпечення протипожежного захисту об’єктів освіти громади полягає у необхідності реалізації державної політики у сфері пожежної та техногенної безпеки, яка відповідно до Кодексу цивільного захисту України є невід’ємною частиною державної діяльності щодо охорони життя та здоров’я людей, національного багатства і навколишнього природного середовища.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Стан протипожежного захисту в закладах освіти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громади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знаходиться в прямому зв’язку з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іально-економічними процесами, що відбуваються в суспільстві. З кожним роком збільшуються матеріальні збитки від пожеж, вони все частіше загрожують життю і здоров’ю людей. Незадовільний стан справ з пожежами та їх наслідками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ідчить про необхідність розв’язання проблеми охорони життя дітей та працівників освіти міста, що потребує посилення протипожежного захисту об’єктів освіти міста.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Слід зазначити, що від встановлення пожежної сигналізації у будівлях проведення вогнезахисної обробки деревини закладів загальної середньої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та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дошкільної, залежить своєчасне оперативне реагування та зменшення часу тління дерев’яних конструкцій горищ, що дасть змогу уникнути людських жертв та значних матеріальних збитків.</w:t>
      </w:r>
      <w:proofErr w:type="gramEnd"/>
    </w:p>
    <w:p w:rsidR="002F2455" w:rsidRDefault="002F2455" w:rsidP="002F2455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У зв’язку з тим, що проблема пожежної безпеки є складовою частиною національної безпеки, вона потребує здійснення першочергових заходів, на виконання яких і розроблена дана цільова програм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а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покращення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пожежної безпеки в закладах освіти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aps/>
          <w:sz w:val="24"/>
          <w:szCs w:val="24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остівської сільської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uk-UA" w:eastAsia="ru-RU"/>
        </w:rPr>
        <w:t>ради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на 2020-2023 роки.</w:t>
      </w:r>
    </w:p>
    <w:p w:rsidR="002F2455" w:rsidRDefault="002F2455" w:rsidP="002F2455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455" w:rsidRDefault="002F2455" w:rsidP="002F245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2455" w:rsidRDefault="002F2455" w:rsidP="002F245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 Визначення мети та завдання програми</w:t>
      </w:r>
    </w:p>
    <w:p w:rsidR="002F2455" w:rsidRDefault="002F2455" w:rsidP="002F245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Програму розроблено з метою створення механізму забезпечення заходів пожежної безпеки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закладах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освіти громади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та умов для реалізації державної політики у сфері пожежної та техногенної безпеки.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Метою програми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є:</w:t>
      </w:r>
      <w:proofErr w:type="gramEnd"/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забезпечення захисту життя та здоров’я учасників навчально-виховного процесу, забезпечення належного протипожежного режиму та недопущення пожеж у закладах освіти громади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-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приведення систем протипожежного захисту закладів освіти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Мостівської сільської ради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 відповідність до вимога нормативно-правових акті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норм і правил.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Завдання програми: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створення єдиної системи забезпечення пожежної безпеки закладів освіти громади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удосконалення та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ідвищення ефективності роботи пов’язаної із захистом учасників навчально-виховного процесу;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ефективне розв’язання завдань з забезпечення протипожежного захисту та оперативного реагування на надзвичайні ситуації на об’єктах освіти громади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посилення контролю за станом пожежної безпеки в будівлях закладів освіти громади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організація гасіння пожеж та зменшення їх негативних наслідків.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2455" w:rsidRDefault="002F2455" w:rsidP="002F245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 Обґрунтування шляхів і засобів розв’язання проблеми, обсягі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</w:p>
    <w:p w:rsidR="002F2455" w:rsidRDefault="002F2455" w:rsidP="002F245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та джерел фінансування, строки та етапи виконання програми</w:t>
      </w:r>
    </w:p>
    <w:p w:rsidR="002F2455" w:rsidRDefault="002F2455" w:rsidP="002F245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Розв’язання проблеми забезпечення пожежної безпеки полягає у комплексному, поетапному вирішенні проблемних питань у сфері пожежної безпеки, гарантованого захисту суспільства та навколишнього природного середовища від пожеж і їх наслідків, впровадження організаційних засад функціонування системи забезпечення пожежної безпеки органів влади всіх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івнів, зміцнення правової, науково-технічної і ресурсної бази, що дасть змогу суттєво зменшити в мі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і кількість пожеж та надзвичайних ситуацій.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 межах програми передбачається здійснити ряд заходів, що обґрунтовують вибі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оптимального варіанту розв’язання проблеми, враховують переваги та недоліки альтернативних варіантів та дасть можливість: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-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розробити економічні, управлінські і правові механізми, спрямовані на здійснення заходів, передбачених програмою на запобігання та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іквідацію наслідків пожеж;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-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здійснити комплекс заходів, встановити порядок і форми розв’язання проблем, пов’язаних з приведенням у відповідність з вимогами нормативно-правових актів, норм та правил систем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протипожежних заходів на об’єктах освіти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Мостівської сільської ради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а також систем протипожежного захисту.</w:t>
      </w:r>
      <w:proofErr w:type="gramEnd"/>
    </w:p>
    <w:p w:rsidR="002F2455" w:rsidRDefault="002F2455" w:rsidP="002F2455">
      <w:pPr>
        <w:spacing w:after="200" w:line="276" w:lineRule="auto"/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Передбачається виконання заходів програми упродовж 20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20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-2023 років. Потреба у фінансуванні програми за рахунок коштів місцевих бюджеті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та інших джерел, не заборонених чинним законодавством України.</w:t>
      </w:r>
    </w:p>
    <w:p w:rsidR="002F2455" w:rsidRDefault="002F2455" w:rsidP="002F245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2F2455" w:rsidRDefault="002F2455" w:rsidP="002F245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 Перелі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заходів програми та результативні показники</w:t>
      </w:r>
    </w:p>
    <w:p w:rsidR="002F2455" w:rsidRDefault="002F2455" w:rsidP="002F245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2455" w:rsidRDefault="002F2455" w:rsidP="002F2455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Заходи з виконання програми наведено в додатку. Перелік заходів сформовано відповідно до виробничо-господарських, організаційно-правових,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іально-економічних, екологічних вимог.</w:t>
      </w:r>
    </w:p>
    <w:p w:rsidR="002F2455" w:rsidRDefault="002F2455" w:rsidP="002F2455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 результаті реалізації заходів планується досягти практичного покращення протипожежного забезпечення об’єктів освіти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громади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2455" w:rsidRDefault="002F2455" w:rsidP="002F245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5. Напрями діяльності та заходи програми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Результатом виконання комплексу заходів, передбачених програмою, спрямованих на забезпечення протипожежного захисту на об’єктах освіти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громади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є:</w:t>
      </w:r>
      <w:proofErr w:type="gramEnd"/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-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швидке оповіщення учасників освітнього процесу про загоряння;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зменшення кількості пожеж, загибелі та травмування на них людей, економічних втрат та матеріальних збитків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ід їх наслідків;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зменшення часу тління деревини горищного перекриття;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-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забезпечення своєчасного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оперативного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реагування на пожежі для їх успішної локалізації та ліквідації.</w:t>
      </w: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2455" w:rsidRDefault="002F2455" w:rsidP="002F245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Координація і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ходом виконання програми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Координація виконання заходів програми покладається на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начальника відділу освіти, молоді та спорту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(згідно з розподілу обов’язків).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Загальний контроль за реалізацією програми здійснює   коміс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ія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сільської ради з   питань прав людини, законності, правопорядку, депутатської діяльності,етики, освіти, фізичного виховання, культури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хорони здоров’я  та соціальної політики.</w:t>
      </w:r>
    </w:p>
    <w:p w:rsidR="002F2455" w:rsidRDefault="002F2455" w:rsidP="002F2455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Начальник відділу освіти                                                    Альона САВЧЕНКО</w:t>
      </w: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</w:p>
    <w:p w:rsidR="002F2455" w:rsidRDefault="002F2455" w:rsidP="002F245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455" w:rsidRDefault="002F2455" w:rsidP="002F2455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2455" w:rsidRDefault="002F2455" w:rsidP="002F2455">
      <w:pPr>
        <w:shd w:val="clear" w:color="auto" w:fill="FFFFFF"/>
        <w:spacing w:line="315" w:lineRule="atLeast"/>
        <w:ind w:left="4253"/>
        <w:jc w:val="righ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Додаток до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П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рограми покращення пожежної безпеки в закладах освіти</w:t>
      </w:r>
    </w:p>
    <w:p w:rsidR="002F2455" w:rsidRDefault="002F2455" w:rsidP="002F2455">
      <w:pPr>
        <w:shd w:val="clear" w:color="auto" w:fill="FFFFFF"/>
        <w:spacing w:line="315" w:lineRule="atLeast"/>
        <w:ind w:left="4253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Мостівської сільської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ради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2020-2023 роки</w:t>
      </w:r>
    </w:p>
    <w:p w:rsidR="002F2455" w:rsidRDefault="002F2455" w:rsidP="002F2455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2455" w:rsidRDefault="002F2455" w:rsidP="002F245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ПЕРЕЛІ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ЗАХОДІВ, ЩО МАЮТЬ БУТИ РЕАЛІЗОВАНІ В МЕЖАХ ПРОГРАМИ ПРОТЯГОМ 20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-2023 РОКІВ</w:t>
      </w:r>
    </w:p>
    <w:p w:rsidR="002F2455" w:rsidRDefault="002F2455" w:rsidP="002F2455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tblInd w:w="-176" w:type="dxa"/>
        <w:tblBorders>
          <w:bottom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88"/>
        <w:gridCol w:w="1559"/>
      </w:tblGrid>
      <w:tr w:rsidR="002F2455" w:rsidTr="002F2455">
        <w:trPr>
          <w:trHeight w:val="6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Назва заході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Орієнтовна вартість реалізації заходів, (тис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рн.)</w:t>
            </w:r>
          </w:p>
        </w:tc>
      </w:tr>
      <w:tr w:rsidR="002F2455" w:rsidTr="002F24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Встановлення автоматичної пожежної сигналізації у будівлях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Мостівського НВК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550,0</w:t>
            </w:r>
          </w:p>
        </w:tc>
      </w:tr>
      <w:tr w:rsidR="002F2455" w:rsidTr="002F24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Проведення вогнезахисної обробки дерев’яних конструкцій горищ буді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вель Мостівського НВК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0,0</w:t>
            </w:r>
          </w:p>
        </w:tc>
      </w:tr>
      <w:tr w:rsidR="002F2455" w:rsidTr="002F24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Встановлення автоматичної пожежної сигналізації у буді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 Сухобалківської ЗОШ І-ІІІ ступенів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400,0</w:t>
            </w:r>
          </w:p>
        </w:tc>
      </w:tr>
      <w:tr w:rsidR="002F2455" w:rsidTr="002F24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Проведення вогнезахисної обробки дерев’яних конструкцій горищ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буді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 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Сухобалківської ЗОШ І-ІІІ ступенів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140,0</w:t>
            </w:r>
          </w:p>
        </w:tc>
      </w:tr>
      <w:tr w:rsidR="002F2455" w:rsidTr="002F24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Встановлення автоматичної пожежної сигналізації у буді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і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Олександрівської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загальноосвітньої школи І-ІІ ступенів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300,0</w:t>
            </w:r>
          </w:p>
        </w:tc>
      </w:tr>
      <w:tr w:rsidR="002F2455" w:rsidTr="002F24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Проведення вогнезахисної обробки дерев’яних конструкцій горища буді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і Олександрівської загальноосвітньої школи І-ІІ ступенів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0,0</w:t>
            </w:r>
          </w:p>
        </w:tc>
      </w:tr>
      <w:tr w:rsidR="002F2455" w:rsidTr="002F24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Встановлення автоматичної пожежної сигналізації у буді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Лідіївської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загальноосвітньої школи І-ІІ ступенів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300,0</w:t>
            </w:r>
          </w:p>
        </w:tc>
      </w:tr>
      <w:tr w:rsidR="002F2455" w:rsidTr="002F24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Проведення вогнезахисної обробки дерев’яних конструкцій горища буді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і Лідіївської загальноосвітньої школи І-ІІ ступенів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180,0</w:t>
            </w:r>
          </w:p>
        </w:tc>
      </w:tr>
      <w:tr w:rsidR="002F2455" w:rsidTr="002F24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Встановлення автоматичної пожежної сигналізації у буді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і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Мостівського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ДНЗ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   7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0,0</w:t>
            </w:r>
          </w:p>
        </w:tc>
      </w:tr>
      <w:tr w:rsidR="002F2455" w:rsidTr="002F24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Проведення вогнезахисної обробки дерев’яних конструкцій горища буді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Лідіївського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ДНЗ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200,0</w:t>
            </w:r>
          </w:p>
        </w:tc>
      </w:tr>
      <w:tr w:rsidR="002F2455" w:rsidTr="002F24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Встановлення автоматичної пожежної сигналізації у буді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Лідіївсько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го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ДНЗ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50,0</w:t>
            </w:r>
          </w:p>
        </w:tc>
      </w:tr>
      <w:tr w:rsidR="002F2455" w:rsidTr="002F24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Встановлення автоматичної пожежної сигналізації у буді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і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Сухобалківського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ДНЗ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50,0</w:t>
            </w:r>
          </w:p>
        </w:tc>
      </w:tr>
      <w:tr w:rsidR="002F2455" w:rsidTr="002F2455">
        <w:trPr>
          <w:trHeight w:val="6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Придбання світлових покажчиків «Вихід» для закладів освіти громади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3,5</w:t>
            </w:r>
          </w:p>
        </w:tc>
      </w:tr>
      <w:tr w:rsidR="002F2455" w:rsidTr="002F2455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14.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Придбання засобів індивідуального захисту органів дихання для закладів освіти громади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20,0</w:t>
            </w:r>
          </w:p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2F2455" w:rsidTr="002F2455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Придбання  та перезарядка вогнегасників, пожежних щитків  для  закладів освіти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25,0</w:t>
            </w:r>
          </w:p>
        </w:tc>
      </w:tr>
      <w:tr w:rsidR="002F2455" w:rsidTr="002F2455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Щорічне здійснення  заміру опору ізоляції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закладів освіти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45,00</w:t>
            </w:r>
          </w:p>
        </w:tc>
      </w:tr>
      <w:tr w:rsidR="002F2455" w:rsidTr="002F2455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Посадовим особам та працівникам пройти навчання та перевірку знань з питань пожежної безпеки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8,5</w:t>
            </w:r>
          </w:p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2F2455" w:rsidTr="002F2455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Щорічне страхування ДПД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28,00</w:t>
            </w:r>
          </w:p>
        </w:tc>
      </w:tr>
      <w:tr w:rsidR="002F2455" w:rsidTr="002F2455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F2455" w:rsidRDefault="002F245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Впорядкувати накази, інструкції, положення щодо вимог цивільного захисту та техногенної безпеки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55" w:rsidRDefault="002F245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</w:tbl>
    <w:p w:rsidR="002F2455" w:rsidRDefault="002F2455" w:rsidP="002F2455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2455" w:rsidRDefault="002F2455" w:rsidP="002F2455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2455" w:rsidRDefault="002F2455" w:rsidP="002F2455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освіти                                                            Альона Савченко</w:t>
      </w: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15C68A" wp14:editId="4A6E89E7">
            <wp:extent cx="523875" cy="828675"/>
            <wp:effectExtent l="0" t="0" r="9525" b="9525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Мостівська сільська  рада</w:t>
      </w: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Доманівського  району</w:t>
      </w: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Миколаївської  області</w:t>
      </w: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</w:t>
      </w: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РІШЕННЯ</w:t>
      </w: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 20 грудня  2019  року     №   4                      ХХХХІІ позачергова сесія 8 скликання</w:t>
      </w: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с.Мостове</w:t>
      </w: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Про затвердження податку на прибуток</w:t>
      </w: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Мостівського КП «Сількомунгост»</w:t>
      </w: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Розглянувши клопотання директора Мостівського КП «Сількомунгосп» та керуючись п.2 ст. 28 Закону України «Про місцеве самоврядування в Україні», сесія сільської ради</w:t>
      </w: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ВИРІШИЛА:</w:t>
      </w: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податок на прибуток в розмірі 2%.</w:t>
      </w:r>
    </w:p>
    <w:p w:rsidR="002F2455" w:rsidRDefault="002F2455" w:rsidP="002F2455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в.о.директора КП «Сількомунгосп» Апостолі К.П.</w:t>
      </w: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Сільський голова                                                                       Надія БАБАНСЬКА</w:t>
      </w: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keepNext/>
        <w:spacing w:after="20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AD40BB" wp14:editId="4A99094B">
            <wp:extent cx="304800" cy="409575"/>
            <wp:effectExtent l="0" t="0" r="0" b="9525"/>
            <wp:docPr id="4" name="Рисунок 4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YZU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5" w:rsidRDefault="002F2455" w:rsidP="002F24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2F2455" w:rsidRDefault="002F2455" w:rsidP="002F245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МОСТІВСЬКА</w:t>
      </w:r>
      <w:r>
        <w:rPr>
          <w:rFonts w:ascii="Times New Roman" w:hAnsi="Times New Roman"/>
          <w:sz w:val="28"/>
          <w:szCs w:val="28"/>
        </w:rPr>
        <w:t xml:space="preserve"> СІЛЬСЬКА РАДА</w:t>
      </w:r>
    </w:p>
    <w:p w:rsidR="002F2455" w:rsidRDefault="002F2455" w:rsidP="002F245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ДОМАНІВСЬКИЙ РАЙОН</w:t>
      </w:r>
    </w:p>
    <w:p w:rsidR="002F2455" w:rsidRDefault="002F2455" w:rsidP="002F245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МИКОЛАЇВСЬКА ОБЛАСТЬ</w:t>
      </w:r>
    </w:p>
    <w:p w:rsidR="002F2455" w:rsidRDefault="002F2455" w:rsidP="002F245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</w:t>
      </w:r>
    </w:p>
    <w:p w:rsidR="002F2455" w:rsidRDefault="002F2455" w:rsidP="002F245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F2455" w:rsidRDefault="002F2455" w:rsidP="002F2455">
      <w:pPr>
        <w:spacing w:after="200" w:line="276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F2455" w:rsidRDefault="002F2455" w:rsidP="002F2455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 20 грудня   2019 року    №  5        ХХХХІІ позачергової  сесії восьмого скликання                                     </w:t>
      </w:r>
    </w:p>
    <w:p w:rsidR="002F2455" w:rsidRDefault="002F2455" w:rsidP="002F2455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програму підтримки </w:t>
      </w:r>
    </w:p>
    <w:p w:rsidR="002F2455" w:rsidRDefault="002F2455" w:rsidP="002F2455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та розвитку установ первинної</w:t>
      </w:r>
    </w:p>
    <w:p w:rsidR="002F2455" w:rsidRDefault="002F2455" w:rsidP="002F2455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медико-санітарної допомоги </w:t>
      </w:r>
    </w:p>
    <w:p w:rsidR="002F2455" w:rsidRDefault="002F2455" w:rsidP="002F2455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Мостівської сільської ради</w:t>
      </w:r>
    </w:p>
    <w:p w:rsidR="002F2455" w:rsidRDefault="002F2455" w:rsidP="002F2455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2020-2022 роки</w:t>
      </w:r>
    </w:p>
    <w:p w:rsidR="002F2455" w:rsidRDefault="002F2455" w:rsidP="002F2455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F2455" w:rsidRDefault="002F2455" w:rsidP="002F245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З метою зниження рівня захворюваності, інвалідності та смертності населення, шляхом формування і налагодження ефективного функціонування системи надання населенню доступної і високоякісної первинної медико-санітарної допомоги на засадах сімейної медицини  та відповідно до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ст. 43 </w:t>
      </w:r>
      <w:r>
        <w:rPr>
          <w:rFonts w:ascii="Times New Roman" w:hAnsi="Times New Roman"/>
          <w:sz w:val="24"/>
          <w:szCs w:val="24"/>
          <w:lang w:val="uk-UA"/>
        </w:rPr>
        <w:t>Закону України «Про місцеве самоврядування в Україні», сільська рада:</w:t>
      </w:r>
    </w:p>
    <w:p w:rsidR="002F2455" w:rsidRDefault="002F2455" w:rsidP="002F245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2F2455" w:rsidRDefault="002F2455" w:rsidP="002F2455">
      <w:pPr>
        <w:ind w:firstLine="72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F2455" w:rsidRDefault="002F2455" w:rsidP="002F2455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Затвердити програму підтримки та розвитку установ первинної медико-санітарної допомоги Мостівської сільської ради на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2020-2022 роки </w:t>
      </w:r>
      <w:r>
        <w:rPr>
          <w:rFonts w:ascii="Times New Roman" w:hAnsi="Times New Roman"/>
          <w:sz w:val="24"/>
          <w:szCs w:val="24"/>
          <w:lang w:val="uk-UA"/>
        </w:rPr>
        <w:t>(додається).</w:t>
      </w:r>
    </w:p>
    <w:p w:rsidR="002F2455" w:rsidRDefault="002F2455" w:rsidP="002F2455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Відділу бухгалтерського обліку та звітності (А.Гривнак), виходячи з можливостей дохідної частини бюджету, щорічно передбачати потребу в коштах на виконання Програми.</w:t>
      </w:r>
    </w:p>
    <w:p w:rsidR="002F2455" w:rsidRDefault="002F2455" w:rsidP="002F245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3. Контроль за виконанням даного рішення покласти на постійну комісію з питань прав людини, законності, правопорядку, депутатської діяльності, етики, освіт</w:t>
      </w:r>
    </w:p>
    <w:p w:rsidR="002F2455" w:rsidRDefault="002F2455" w:rsidP="002F2455">
      <w:pPr>
        <w:ind w:left="567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br/>
      </w: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Сільський голова                                                             Надія БАБАНСЬКА</w:t>
      </w:r>
    </w:p>
    <w:p w:rsidR="002F2455" w:rsidRDefault="002F2455" w:rsidP="002F245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Паспорт</w:t>
      </w:r>
    </w:p>
    <w:p w:rsidR="002F2455" w:rsidRDefault="002F2455" w:rsidP="002F24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програми підтримки та розвитку установ</w:t>
      </w:r>
    </w:p>
    <w:p w:rsidR="002F2455" w:rsidRDefault="002F2455" w:rsidP="002F24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первинної медико-санітарної допомоги Мостівської сільської ради на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2020-2022 роки</w:t>
      </w:r>
    </w:p>
    <w:p w:rsidR="002F2455" w:rsidRDefault="002F2455" w:rsidP="002F2455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</w:pPr>
    </w:p>
    <w:tbl>
      <w:tblPr>
        <w:tblW w:w="999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463"/>
        <w:gridCol w:w="6025"/>
      </w:tblGrid>
      <w:tr w:rsidR="002F2455" w:rsidTr="002F24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Виконавчий комітет Мостівської сільської ради</w:t>
            </w:r>
          </w:p>
        </w:tc>
      </w:tr>
      <w:tr w:rsidR="002F2455" w:rsidTr="002F24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Документ органу виконавчої влади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Стратегія розвитку Мостівської сільської ради  на 2018-2026 роки</w:t>
            </w:r>
          </w:p>
        </w:tc>
      </w:tr>
      <w:tr w:rsidR="002F2455" w:rsidTr="002F24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Розробник програми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Мостівська сільська рада </w:t>
            </w:r>
          </w:p>
        </w:tc>
      </w:tr>
      <w:tr w:rsidR="002F2455" w:rsidRPr="002F2455" w:rsidTr="002F24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Співрозробники програми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Комунальне некомерційне підприємство «Центр первинної медико-санітарної допомоги» Доманівської районної ради Миколаївської області</w:t>
            </w:r>
          </w:p>
        </w:tc>
      </w:tr>
      <w:tr w:rsidR="002F2455" w:rsidTr="002F2455">
        <w:trPr>
          <w:trHeight w:val="14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Відповідальні виконавці програми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Депутати Мостівської сільської ради</w:t>
            </w:r>
          </w:p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Члени виконкому </w:t>
            </w:r>
          </w:p>
        </w:tc>
      </w:tr>
      <w:tr w:rsidR="002F2455" w:rsidTr="002F24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Учасники програми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Комунальне некомерційне підприємство «Центр первинної медико-санітарної допомоги» Доманівської районнолї ради Миколаївської області</w:t>
            </w:r>
          </w:p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Мостівська сільська рада </w:t>
            </w:r>
          </w:p>
        </w:tc>
      </w:tr>
      <w:tr w:rsidR="002F2455" w:rsidTr="002F24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Термін реалізації програми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2020 - 2022 роки</w:t>
            </w:r>
          </w:p>
        </w:tc>
      </w:tr>
      <w:tr w:rsidR="002F2455" w:rsidTr="002F24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Сільський бюджет, обласний бюджет, державний бюджет, інші кошти не заборонені законодавством</w:t>
            </w:r>
          </w:p>
        </w:tc>
      </w:tr>
      <w:tr w:rsidR="002F2455" w:rsidTr="002F24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705,6 тис грн.</w:t>
            </w:r>
          </w:p>
        </w:tc>
      </w:tr>
      <w:tr w:rsidR="002F2455" w:rsidTr="002F24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Сільський бюджет об’єднаної територіальної громади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410,0 тис грн</w:t>
            </w:r>
          </w:p>
        </w:tc>
      </w:tr>
      <w:tr w:rsidR="002F2455" w:rsidTr="002F24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джерела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295,6</w:t>
            </w:r>
          </w:p>
        </w:tc>
      </w:tr>
    </w:tbl>
    <w:p w:rsidR="002F2455" w:rsidRDefault="002F2455" w:rsidP="002F245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Загальна частина</w:t>
      </w: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Кожна людина має природне невід’ємне і непорушне право на охорону здоров’я. Суспільство і держава відповідальні перед сучасним і майбутнім поколіннями за рівень здоров’я і збереження генофонду народу України, забезпечують пріоритетність охорони здоров’я діяльності держави, поліпшення умов праці, навчання, побуту і відпочинку населення, розв’язання екологічних проблем, вдосконалення медичної допомоги і запровадження здорового способу життя. Однак, на сьогодні медичне обслуговування не дає можливості кожному громадянину реалізувати своє, гарантоване статтею 49 Конституції України, право на охорону здоров’я, медичну допомогу та медичне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lastRenderedPageBreak/>
        <w:t>страхування. Згідно цієї ж статті, держава зобов’язана створювати умови для ефективного і доступного для всіх громадян медичного обслуговування.</w:t>
      </w:r>
    </w:p>
    <w:p w:rsidR="002F2455" w:rsidRDefault="002F2455" w:rsidP="002F2455">
      <w:pPr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Програма розвитку первинної медицини (далі – Програма) розроблена з метою подальшого розвитку первинної медицини шляхом формування, збереження і зміцнення здоров’я людей, раннього виявлення захворювань та їх ефективного лікування. Програма передбачає цільове першочергове фінансування заходів, які мають значний вплив на вирішення найважливіших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проблем розвитку первинної медичної допомоги населенню на засадах сімейної медицини. Програма розрахована і підготовлена відповідно до законів України, постанов Кабінету Міністрів України, наказів Міністерства охорони здоров’я України.</w:t>
      </w:r>
    </w:p>
    <w:p w:rsidR="002F2455" w:rsidRDefault="002F2455" w:rsidP="002F2455">
      <w:pPr>
        <w:ind w:firstLine="708"/>
        <w:jc w:val="both"/>
        <w:textAlignment w:val="baseline"/>
        <w:rPr>
          <w:rFonts w:ascii="Times New Roman" w:eastAsia="Times New Roman" w:hAnsi="Times New Roman"/>
          <w:color w:val="39474F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9474F"/>
          <w:sz w:val="24"/>
          <w:szCs w:val="24"/>
          <w:lang w:val="uk-UA" w:eastAsia="uk-UA"/>
        </w:rPr>
        <w:t xml:space="preserve"> </w:t>
      </w: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Мета Програми</w:t>
      </w:r>
    </w:p>
    <w:p w:rsidR="002F2455" w:rsidRDefault="002F2455" w:rsidP="002F245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Метою програми є забезпечення зниження рівня захворюваності,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допомоги, зокрема:</w:t>
      </w:r>
    </w:p>
    <w:p w:rsidR="002F2455" w:rsidRDefault="002F2455" w:rsidP="002F2455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права жителів сіл на своєчасну першу невідкладну допомогу при нещасних випадках, гострих захворюваннях тощо;</w:t>
      </w:r>
    </w:p>
    <w:p w:rsidR="002F2455" w:rsidRDefault="002F2455" w:rsidP="002F2455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права жителів сіл на лікувально- профілактичну допомогу;</w:t>
      </w:r>
    </w:p>
    <w:p w:rsidR="002F2455" w:rsidRDefault="002F2455" w:rsidP="002F2455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попередження, лікування, локалізацію та ліквідацію масових інфекційних захворювань;</w:t>
      </w:r>
    </w:p>
    <w:p w:rsidR="002F2455" w:rsidRDefault="002F2455" w:rsidP="002F2455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запобігання демографічній кризі, забезпечення здоров'я майбутніх поколінь і профілактики спадкових захворювань;</w:t>
      </w:r>
    </w:p>
    <w:p w:rsidR="002F2455" w:rsidRDefault="002F2455" w:rsidP="002F2455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заохочення материнства;</w:t>
      </w:r>
    </w:p>
    <w:p w:rsidR="002F2455" w:rsidRDefault="002F2455" w:rsidP="002F2455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контроль за охороною здоров'я дітей;</w:t>
      </w:r>
    </w:p>
    <w:p w:rsidR="002F2455" w:rsidRDefault="002F2455" w:rsidP="002F2455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санітарно-епідемічне благополуччя території об’єднаної територіальної громади.</w:t>
      </w:r>
    </w:p>
    <w:p w:rsidR="002F2455" w:rsidRDefault="002F2455" w:rsidP="002F245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 Завдання Програми</w:t>
      </w:r>
    </w:p>
    <w:p w:rsidR="002F2455" w:rsidRDefault="002F2455" w:rsidP="002F245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Основними завданнями функціонування та розвитку первинної медико-санітарної допомоги населенню Мостівської сільської ради  на 2020-2022 роки є:</w:t>
      </w:r>
    </w:p>
    <w:p w:rsidR="002F2455" w:rsidRDefault="002F2455" w:rsidP="002F2455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збереження і покращення здоров'я населення;</w:t>
      </w:r>
    </w:p>
    <w:p w:rsidR="002F2455" w:rsidRDefault="002F2455" w:rsidP="002F2455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гарантована доступність і якість кваліфікованої медичної допомоги;</w:t>
      </w:r>
    </w:p>
    <w:p w:rsidR="002F2455" w:rsidRDefault="002F2455" w:rsidP="002F2455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проведення ремонту, оснащення обладнанням  та створення умов для заохочення медичного персоналу до професійної діяльності у сільській місцевості;</w:t>
      </w:r>
    </w:p>
    <w:p w:rsidR="002F2455" w:rsidRDefault="002F2455" w:rsidP="002F2455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удосконалення організації медичної допомоги, пріоритетний розвиток первинної медико-санітарної допомоги;</w:t>
      </w:r>
    </w:p>
    <w:p w:rsidR="002F2455" w:rsidRDefault="002F2455" w:rsidP="002F2455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підвищення рівня санітарної культури населення, формування здорового способу життя; </w:t>
      </w:r>
    </w:p>
    <w:p w:rsidR="002F2455" w:rsidRDefault="002F2455" w:rsidP="002F2455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удосконалення механізмів фінансування закладу охорони здоров'я.</w:t>
      </w:r>
    </w:p>
    <w:p w:rsidR="002F2455" w:rsidRDefault="002F2455" w:rsidP="002F2455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F2455" w:rsidRDefault="002F2455" w:rsidP="002F2455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 Фінансове забезпечення Програми</w:t>
      </w: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Одержувачем коштів є Комунальне некомерційне підприємство «Центр первинної медико-санітарної допомоги» Доманівської районної ради Миколаївської області,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до складу якого входять АЗПСМ с. Мостове, ФАПи с. Суха Балка, Лідіївка, Олександрівка.</w:t>
      </w:r>
    </w:p>
    <w:p w:rsidR="002F2455" w:rsidRDefault="002F2455" w:rsidP="002F245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виконання цієї Програми здійснюється в межах видатків, передбачених у сільському бюджеті, медичною субвенцією з державного бюджету, а також за рахунок інших джерел фінансування, незаборонених чинним законодавством, відповідно до розрахунку.</w:t>
      </w:r>
    </w:p>
    <w:p w:rsidR="002F2455" w:rsidRDefault="002F2455" w:rsidP="002F245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Обсяг фінансування Програми визначається виходячи з конкретних завдань та наявних коштів і може уточнюватися з урахуванням дохідної можливості бюджету.</w:t>
      </w:r>
    </w:p>
    <w:p w:rsidR="002F2455" w:rsidRDefault="002F2455" w:rsidP="002F245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Контроль за використанням бюджетних коштів, передбачених для здійснення заходів, визначених Програмою, здійснюється у порядку, встановленому законодавством.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2F2455" w:rsidRDefault="002F2455" w:rsidP="002F245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Прогнозні обсяги та джерела фінансування(тис. грн.):</w:t>
      </w:r>
    </w:p>
    <w:p w:rsidR="002F2455" w:rsidRDefault="002F2455" w:rsidP="002F2455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</w:pPr>
    </w:p>
    <w:tbl>
      <w:tblPr>
        <w:tblW w:w="971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1191"/>
        <w:gridCol w:w="1275"/>
        <w:gridCol w:w="1560"/>
        <w:gridCol w:w="2409"/>
      </w:tblGrid>
      <w:tr w:rsidR="002F2455" w:rsidTr="002F245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Роки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Усього витрат на виконання програми (тис. грн.)</w:t>
            </w:r>
          </w:p>
        </w:tc>
      </w:tr>
      <w:tr w:rsidR="002F2455" w:rsidTr="002F24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455" w:rsidRDefault="002F245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455" w:rsidRDefault="002F245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F2455" w:rsidTr="002F24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Обсяг ресурсів, усього, (тис. грн.) у тому числі: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705,6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795,6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845,6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2346,8</w:t>
            </w:r>
          </w:p>
        </w:tc>
      </w:tr>
      <w:tr w:rsidR="002F2455" w:rsidTr="002F24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Бюджет Мостівської сільської ради ОТГ (тис. грн.)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550,0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1460,0</w:t>
            </w:r>
          </w:p>
        </w:tc>
      </w:tr>
      <w:tr w:rsidR="002F2455" w:rsidTr="002F24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455" w:rsidRDefault="002F24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455" w:rsidRDefault="002F245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295,6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455" w:rsidRDefault="002F245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295,6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455" w:rsidRDefault="002F245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295,6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455" w:rsidRDefault="002F245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886,8</w:t>
            </w:r>
          </w:p>
        </w:tc>
      </w:tr>
    </w:tbl>
    <w:p w:rsidR="002F2455" w:rsidRDefault="002F2455" w:rsidP="002F2455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</w:pPr>
    </w:p>
    <w:p w:rsidR="002F2455" w:rsidRDefault="002F2455" w:rsidP="002F2455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Обсяг вказаних видатків є орієнтовним і визначається рішеннями Мостівської сільської ради, або про внесення змін до показників на відповідний бюджетний рік даної сільської ради.</w:t>
      </w:r>
    </w:p>
    <w:p w:rsidR="002F2455" w:rsidRDefault="002F2455" w:rsidP="002F2455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2F2455" w:rsidRDefault="002F2455" w:rsidP="002F2455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</w:pPr>
    </w:p>
    <w:p w:rsidR="002F2455" w:rsidRDefault="002F2455" w:rsidP="002F2455">
      <w:pP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</w:pPr>
    </w:p>
    <w:p w:rsidR="002F2455" w:rsidRDefault="002F2455" w:rsidP="002F2455">
      <w:pP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</w:pPr>
    </w:p>
    <w:p w:rsidR="002F2455" w:rsidRDefault="002F2455" w:rsidP="002F2455">
      <w:pPr>
        <w:rPr>
          <w:rFonts w:ascii="Times New Roman" w:eastAsia="Times New Roman" w:hAnsi="Times New Roman"/>
          <w:sz w:val="24"/>
          <w:szCs w:val="24"/>
          <w:lang w:val="uk-UA" w:eastAsia="uk-UA"/>
        </w:rPr>
        <w:sectPr w:rsidR="002F2455">
          <w:pgSz w:w="11906" w:h="16838"/>
          <w:pgMar w:top="1134" w:right="850" w:bottom="709" w:left="1560" w:header="708" w:footer="708" w:gutter="0"/>
          <w:cols w:space="720"/>
        </w:sect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5. Програмні заходи</w:t>
      </w:r>
    </w:p>
    <w:p w:rsidR="002F2455" w:rsidRDefault="002F2455" w:rsidP="002F2455">
      <w:pPr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Заходи на виконання Програми підтримки розвитку первинної медико-санітарної допомоги» Доманівської районної ради Миколаївської області на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2020-2022 роки:</w:t>
      </w:r>
    </w:p>
    <w:p w:rsidR="002F2455" w:rsidRDefault="002F2455" w:rsidP="002F2455">
      <w:pPr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Style w:val="a3"/>
        <w:tblW w:w="15211" w:type="dxa"/>
        <w:jc w:val="center"/>
        <w:tblInd w:w="0" w:type="dxa"/>
        <w:tblLook w:val="04A0" w:firstRow="1" w:lastRow="0" w:firstColumn="1" w:lastColumn="0" w:noHBand="0" w:noVBand="1"/>
      </w:tblPr>
      <w:tblGrid>
        <w:gridCol w:w="594"/>
        <w:gridCol w:w="3812"/>
        <w:gridCol w:w="2292"/>
        <w:gridCol w:w="2091"/>
        <w:gridCol w:w="1670"/>
        <w:gridCol w:w="1584"/>
        <w:gridCol w:w="1584"/>
        <w:gridCol w:w="1584"/>
      </w:tblGrid>
      <w:tr w:rsidR="002F2455" w:rsidTr="002F2455">
        <w:trPr>
          <w:trHeight w:val="70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5" w:rsidRDefault="002F24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 заходів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5" w:rsidRDefault="002F24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Виконавці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Джерела</w:t>
            </w:r>
          </w:p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фінансування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Орієнтовані</w:t>
            </w:r>
          </w:p>
          <w:p w:rsidR="002F2455" w:rsidRDefault="002F24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обсяги фінансування</w:t>
            </w:r>
          </w:p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Роки</w:t>
            </w:r>
          </w:p>
        </w:tc>
      </w:tr>
      <w:tr w:rsidR="002F2455" w:rsidTr="002F2455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2F2455" w:rsidTr="002F2455">
        <w:trPr>
          <w:trHeight w:val="5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5" w:rsidRDefault="002F2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Придбання медичного обладнання та інструментарію відповідно до табелю оснащення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«Центр первинної медико-санітарної допомоги» Доманівської районної ради Миколаївської 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сільський бюджет, інші джерела фінансування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F2455" w:rsidTr="002F2455">
        <w:trPr>
          <w:trHeight w:val="55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 пільговими рецептами пільгові категорії населення.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«Центр первинної медико-санітарної допомоги» Доманівської районної ради Миколаївської 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сільський бюджет, інші джерела фінансування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F2455" w:rsidTr="002F2455">
        <w:trPr>
          <w:trHeight w:val="54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5" w:rsidRDefault="002F2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Придбання комп’ютерної техніки (комп’ютери, ноутбуки, багатофункціональні пристрої для друку, сканування та копіювання).</w:t>
            </w:r>
          </w:p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«Центр первинної медико-санітарної допомоги» Доманівської районної ради Миколаївської 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сільський бюджет, інші джерела фінансування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2455" w:rsidTr="002F2455">
        <w:trPr>
          <w:trHeight w:val="8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Придбання спеціалізованого програмного забезпечення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«Центр первинної медико-санітарної допомоги» Доманівської районної ради Миколаївської 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сільський бюджет, інші джерела фінансування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2455" w:rsidTr="002F2455">
        <w:trPr>
          <w:trHeight w:val="56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Підтримка Центру щодо фінансування видатків на оплату комунальних послуг.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Комунальне некомерційне підприємство «Центр первинної медико-санітарної допомоги» Доманівської районної ради Миколаївської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сільський бюджет, інші джерела фінансування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F2455" w:rsidTr="002F2455">
        <w:trPr>
          <w:trHeight w:val="10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капітального ремонту: АЗПСМ с. Мостове, ФАПи с. Суха Балка, Лідіївка, Олександрівка.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«Центр первинної медико-санітарної допомоги» Доманівської районної ради Миколаївської 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сільський бюджет, інші джерела фінансування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F2455" w:rsidTr="002F2455">
        <w:trPr>
          <w:trHeight w:val="10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5" w:rsidRDefault="002F2455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5" w:rsidRDefault="002F2455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</w:tbl>
    <w:p w:rsidR="002F2455" w:rsidRDefault="002F2455" w:rsidP="002F2455">
      <w:pPr>
        <w:rPr>
          <w:rFonts w:ascii="Times New Roman" w:hAnsi="Times New Roman"/>
          <w:b/>
          <w:sz w:val="24"/>
          <w:szCs w:val="24"/>
          <w:lang w:val="uk-UA"/>
        </w:rPr>
        <w:sectPr w:rsidR="002F2455">
          <w:pgSz w:w="16838" w:h="11906" w:orient="landscape"/>
          <w:pgMar w:top="1276" w:right="1134" w:bottom="850" w:left="709" w:header="708" w:footer="708" w:gutter="0"/>
          <w:cols w:space="720"/>
        </w:sect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6. Очікувані результати виконання програми</w:t>
      </w: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shd w:val="clear" w:color="auto" w:fill="FFFFFF"/>
        <w:ind w:firstLine="45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Виконання визначених завдань дасть змогу досягти   поставленої мети за такими індикаторами:</w:t>
      </w:r>
    </w:p>
    <w:p w:rsidR="002F2455" w:rsidRDefault="002F2455" w:rsidP="002F2455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покращити забезпечення закладів сімейної медицини медичним обладнанням, інструментами відповідно до табеля оснащення; </w:t>
      </w:r>
    </w:p>
    <w:p w:rsidR="002F2455" w:rsidRDefault="002F2455" w:rsidP="002F2455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збільшення питомої ваги чисельності населення, якому надається первинна медична допомога на засадах сімейної медицини до 100%;</w:t>
      </w:r>
    </w:p>
    <w:p w:rsidR="002F2455" w:rsidRDefault="002F2455" w:rsidP="002F2455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поліпшити якість амбулаторного лікування пільгових категорій населення, забезпечивши їх лікарськими засобами безкоштовно або зі знижкою 50 % в залежності від потреби;</w:t>
      </w:r>
    </w:p>
    <w:p w:rsidR="002F2455" w:rsidRDefault="002F2455" w:rsidP="002F2455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збільшення частки звернень населення до сімейних лікарів з профілактичною метою на  і досягнення цього показника до 100%;</w:t>
      </w:r>
    </w:p>
    <w:p w:rsidR="002F2455" w:rsidRDefault="002F2455" w:rsidP="002F2455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покращення результатів проведення профілактичних щеплень;</w:t>
      </w:r>
    </w:p>
    <w:p w:rsidR="002F2455" w:rsidRDefault="002F2455" w:rsidP="002F2455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досягнення показника медичної допомоги, що починається і закінчується на рівні ПМСД 100%;</w:t>
      </w:r>
    </w:p>
    <w:p w:rsidR="002F2455" w:rsidRDefault="002F2455" w:rsidP="002F2455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покращити ранню діагностику захворювань серцево-судинної системи, онкології, що знизить показники смертності і інвалідності;</w:t>
      </w:r>
    </w:p>
    <w:p w:rsidR="002F2455" w:rsidRDefault="002F2455" w:rsidP="002F2455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покращити надання населенню якісної амбулаторної медичної допомоги первинного рівня та зменшити кількість звернень до вузьких спеціалістів без направлень сімейного лікаря;</w:t>
      </w:r>
    </w:p>
    <w:p w:rsidR="002F2455" w:rsidRDefault="002F2455" w:rsidP="002F2455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забезпечити організацію та координацію лікарем сімейної медицини подання пацієнтам  спеціалізованої амбулаторної медичної допомоги, направлення населення на консультацію до вузьких спеціалістів вторинного та третинного рівнів.</w:t>
      </w: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 Організація контролю за виконанням Програми</w:t>
      </w: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Реалізація заходів, передбачених Програмою, покладається на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Комунальне некомерційне підприємство «Центр первинної медико-санітарної допомоги Доманівської районної ради Миколаївсткої області».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Контроль за реалізацією заходів, передбачених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Програмою, здійснюватиме виконком Мостівської сільської ради  з наданням відповідної інформації. Комунальний заклад «Центр первинної медико-санітарної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допомоги» за підсумками року звітуватиме перед сільською радою про хід виконання Програми.</w:t>
      </w:r>
    </w:p>
    <w:p w:rsidR="002F2455" w:rsidRDefault="002F2455" w:rsidP="002F245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shd w:val="clear" w:color="auto" w:fill="FFFFFF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</w:pPr>
    </w:p>
    <w:p w:rsidR="002F2455" w:rsidRDefault="002F2455" w:rsidP="002F245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Секретар сільської ради                                               Тетяна РАДЧУК</w:t>
      </w:r>
    </w:p>
    <w:p w:rsidR="002F2455" w:rsidRDefault="002F2455" w:rsidP="002F2455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rPr>
          <w:rFonts w:ascii="Times New Roman" w:hAnsi="Times New Roman"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2455" w:rsidRDefault="002F2455" w:rsidP="002F245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012A3" w:rsidRDefault="006012A3">
      <w:bookmarkStart w:id="0" w:name="_GoBack"/>
      <w:bookmarkEnd w:id="0"/>
    </w:p>
    <w:sectPr w:rsidR="0060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6ADE"/>
    <w:multiLevelType w:val="multilevel"/>
    <w:tmpl w:val="0598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F7D8E"/>
    <w:multiLevelType w:val="hybridMultilevel"/>
    <w:tmpl w:val="43101FAC"/>
    <w:lvl w:ilvl="0" w:tplc="D6D07D02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206170"/>
    <w:multiLevelType w:val="multilevel"/>
    <w:tmpl w:val="B36C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E56D9"/>
    <w:multiLevelType w:val="multilevel"/>
    <w:tmpl w:val="3556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3625E"/>
    <w:multiLevelType w:val="hybridMultilevel"/>
    <w:tmpl w:val="9596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55"/>
    <w:rsid w:val="002F2455"/>
    <w:rsid w:val="006012A3"/>
    <w:rsid w:val="0079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55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4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4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55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4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4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3564</Words>
  <Characters>20318</Characters>
  <Application>Microsoft Office Word</Application>
  <DocSecurity>0</DocSecurity>
  <Lines>169</Lines>
  <Paragraphs>47</Paragraphs>
  <ScaleCrop>false</ScaleCrop>
  <Company/>
  <LinksUpToDate>false</LinksUpToDate>
  <CharactersWithSpaces>23835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2020-02-18T12:46:00Z</dcterms:created>
  <dcterms:modified xsi:type="dcterms:W3CDTF">2020-02-18T12:47:00Z</dcterms:modified>
</cp:coreProperties>
</file>